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3"/>
        <w:widowControl w:val="0"/>
        <w:snapToGrid w:val="0"/>
        <w:spacing w:before="0" w:beforeLines="0" w:beforeAutospacing="0" w:after="0" w:afterLines="0" w:afterAutospacing="0" w:line="600" w:lineRule="exact"/>
        <w:jc w:val="center"/>
        <w:textAlignment w:val="baseline"/>
        <w:rPr>
          <w:rFonts w:hint="eastAsia" w:cs="宋体"/>
          <w:b/>
          <w:sz w:val="44"/>
          <w:szCs w:val="44"/>
          <w:highlight w:val="none"/>
        </w:rPr>
      </w:pPr>
      <w:bookmarkStart w:id="1" w:name="_GoBack"/>
      <w:bookmarkEnd w:id="1"/>
      <w:r>
        <w:rPr>
          <w:rFonts w:hint="eastAsia" w:cs="宋体"/>
          <w:b/>
          <w:sz w:val="44"/>
          <w:szCs w:val="44"/>
          <w:highlight w:val="none"/>
        </w:rPr>
        <w:t>海</w:t>
      </w:r>
      <w:r>
        <w:rPr>
          <w:rFonts w:hint="eastAsia" w:cs="宋体"/>
          <w:b/>
          <w:sz w:val="44"/>
          <w:szCs w:val="44"/>
          <w:highlight w:val="none"/>
          <w:lang w:eastAsia="zh-CN"/>
        </w:rPr>
        <w:t>南</w:t>
      </w:r>
      <w:r>
        <w:rPr>
          <w:rFonts w:hint="eastAsia" w:cs="宋体"/>
          <w:b/>
          <w:sz w:val="44"/>
          <w:szCs w:val="44"/>
          <w:highlight w:val="none"/>
        </w:rPr>
        <w:t>农村商业银行股份有限公司</w:t>
      </w:r>
    </w:p>
    <w:p>
      <w:pPr>
        <w:pStyle w:val="33"/>
        <w:widowControl w:val="0"/>
        <w:snapToGrid w:val="0"/>
        <w:spacing w:before="0" w:beforeLines="0" w:beforeAutospacing="0" w:after="0" w:afterLines="0" w:afterAutospacing="0" w:line="600" w:lineRule="exact"/>
        <w:jc w:val="center"/>
        <w:textAlignment w:val="baseline"/>
        <w:rPr>
          <w:rFonts w:hint="eastAsia" w:cs="宋体"/>
          <w:b/>
          <w:sz w:val="44"/>
          <w:szCs w:val="44"/>
          <w:highlight w:val="none"/>
        </w:rPr>
      </w:pPr>
      <w:r>
        <w:rPr>
          <w:rFonts w:hint="eastAsia" w:cs="宋体"/>
          <w:b/>
          <w:sz w:val="44"/>
          <w:szCs w:val="44"/>
          <w:highlight w:val="none"/>
        </w:rPr>
        <w:t>信用卡消费分期</w:t>
      </w:r>
      <w:r>
        <w:rPr>
          <w:rFonts w:hint="eastAsia" w:cs="宋体"/>
          <w:b/>
          <w:sz w:val="44"/>
          <w:szCs w:val="44"/>
          <w:highlight w:val="none"/>
          <w:lang w:eastAsia="zh-CN"/>
        </w:rPr>
        <w:t>协议</w:t>
      </w:r>
    </w:p>
    <w:p>
      <w:pPr>
        <w:pStyle w:val="33"/>
        <w:widowControl w:val="0"/>
        <w:snapToGrid w:val="0"/>
        <w:spacing w:before="0" w:beforeLines="0" w:beforeAutospacing="0" w:after="0" w:afterLines="0" w:afterAutospacing="0" w:line="600" w:lineRule="exact"/>
        <w:ind w:firstLine="682" w:firstLineChars="200"/>
        <w:jc w:val="center"/>
        <w:textAlignment w:val="baseline"/>
        <w:rPr>
          <w:rFonts w:hint="eastAsia" w:ascii="宋体" w:hAnsi="宋体" w:eastAsia="宋体" w:cs="宋体"/>
          <w:b/>
          <w:sz w:val="36"/>
          <w:szCs w:val="36"/>
          <w:highlight w:val="none"/>
        </w:rPr>
      </w:pPr>
    </w:p>
    <w:p>
      <w:pPr>
        <w:autoSpaceDN w:val="0"/>
        <w:spacing w:line="600" w:lineRule="exact"/>
        <w:ind w:firstLine="602" w:firstLineChars="200"/>
        <w:jc w:val="left"/>
        <w:outlineLvl w:val="2"/>
        <w:rPr>
          <w:rStyle w:val="24"/>
          <w:rFonts w:hint="eastAsia" w:ascii="仿宋" w:hAnsi="仿宋" w:eastAsia="仿宋" w:cs="仿宋"/>
          <w:b w:val="0"/>
          <w:i w:val="0"/>
          <w:iCs w:val="0"/>
          <w:color w:val="292929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如海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  <w:lang w:eastAsia="zh-CN"/>
        </w:rPr>
        <w:t>南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农村商业银行股份有限公司（以下简称“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”）信用卡主卡持卡人（以下简称“持卡人”）申请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  <w:lang w:val="en-US" w:eastAsia="zh-CN"/>
        </w:rPr>
        <w:t>本行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信用卡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  <w:lang w:eastAsia="zh-CN"/>
        </w:rPr>
        <w:t>消费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分期业务，即表示其已阅读、理解并接受《海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  <w:lang w:eastAsia="zh-CN"/>
        </w:rPr>
        <w:t>南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农村商业银行股份有限公司信用卡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  <w:lang w:eastAsia="zh-CN"/>
        </w:rPr>
        <w:t>消费</w:t>
      </w:r>
      <w:r>
        <w:rPr>
          <w:rFonts w:hint="eastAsia" w:ascii="仿宋" w:hAnsi="仿宋" w:eastAsia="仿宋" w:cs="仿宋"/>
          <w:b/>
          <w:i w:val="0"/>
          <w:iCs w:val="0"/>
          <w:sz w:val="32"/>
          <w:szCs w:val="32"/>
          <w:highlight w:val="none"/>
          <w:u w:val="none"/>
        </w:rPr>
        <w:t>分期协议》（以下简称“协议”）的全部条款和内容，并愿意受此约束</w:t>
      </w:r>
      <w:r>
        <w:rPr>
          <w:rStyle w:val="24"/>
          <w:rFonts w:hint="eastAsia" w:ascii="仿宋" w:hAnsi="仿宋" w:eastAsia="仿宋" w:cs="仿宋"/>
          <w:b w:val="0"/>
          <w:i w:val="0"/>
          <w:iCs w:val="0"/>
          <w:color w:val="292929"/>
          <w:sz w:val="32"/>
          <w:szCs w:val="32"/>
          <w:highlight w:val="none"/>
          <w:u w:val="none"/>
        </w:rPr>
        <w:t>。</w:t>
      </w:r>
    </w:p>
    <w:p>
      <w:pPr>
        <w:autoSpaceDN w:val="0"/>
        <w:spacing w:line="600" w:lineRule="exact"/>
        <w:ind w:firstLine="0" w:firstLineChars="0"/>
        <w:jc w:val="center"/>
        <w:outlineLvl w:val="2"/>
        <w:rPr>
          <w:rStyle w:val="24"/>
          <w:rFonts w:hint="default" w:ascii="黑体" w:hAnsi="黑体" w:eastAsia="黑体" w:cs="黑体"/>
          <w:b w:val="0"/>
          <w:bCs w:val="0"/>
          <w:color w:val="292929"/>
          <w:sz w:val="32"/>
          <w:szCs w:val="32"/>
          <w:highlight w:val="none"/>
          <w:lang w:val="en-US" w:eastAsia="zh-CN"/>
        </w:rPr>
      </w:pPr>
      <w:r>
        <w:rPr>
          <w:rStyle w:val="24"/>
          <w:rFonts w:hint="eastAsia" w:ascii="黑体" w:hAnsi="黑体" w:eastAsia="黑体" w:cs="黑体"/>
          <w:b w:val="0"/>
          <w:bCs w:val="0"/>
          <w:color w:val="292929"/>
          <w:sz w:val="32"/>
          <w:szCs w:val="32"/>
          <w:highlight w:val="none"/>
          <w:lang w:eastAsia="zh-CN"/>
        </w:rPr>
        <w:t>第一条</w:t>
      </w:r>
      <w:r>
        <w:rPr>
          <w:rStyle w:val="24"/>
          <w:rFonts w:hint="eastAsia" w:ascii="黑体" w:hAnsi="黑体" w:eastAsia="黑体" w:cs="黑体"/>
          <w:b w:val="0"/>
          <w:bCs w:val="0"/>
          <w:color w:val="292929"/>
          <w:sz w:val="32"/>
          <w:szCs w:val="32"/>
          <w:highlight w:val="none"/>
          <w:lang w:val="en-US" w:eastAsia="zh-CN"/>
        </w:rPr>
        <w:t xml:space="preserve"> 息费收取重要内容</w:t>
      </w:r>
    </w:p>
    <w:p>
      <w:pPr>
        <w:spacing w:line="600" w:lineRule="exact"/>
        <w:ind w:firstLine="602" w:firstLineChars="200"/>
        <w:rPr>
          <w:rFonts w:hint="eastAsia" w:ascii="仿宋" w:hAnsi="仿宋" w:eastAsia="仿宋"/>
          <w:b/>
          <w:bCs/>
          <w:i/>
          <w:iCs/>
          <w:szCs w:val="32"/>
          <w:highlight w:val="none"/>
          <w:u w:val="single"/>
        </w:rPr>
      </w:pPr>
      <w:r>
        <w:rPr>
          <w:rFonts w:hint="eastAsia" w:ascii="仿宋" w:hAnsi="仿宋" w:eastAsia="仿宋"/>
          <w:szCs w:val="32"/>
          <w:highlight w:val="none"/>
          <w:lang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color w:val="000000"/>
          <w:szCs w:val="32"/>
          <w:highlight w:val="none"/>
        </w:rPr>
        <w:t>持卡人申请分期成功后，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  <w:t>分期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val="en-US" w:eastAsia="zh-CN"/>
        </w:rPr>
        <w:t>本金及分期利息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  <w:t>将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val="en-US" w:eastAsia="zh-CN"/>
        </w:rPr>
        <w:t>根据持卡人选择的还款方式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  <w:t>列入账单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eastAsia="zh-CN"/>
        </w:rPr>
        <w:t>，其中</w:t>
      </w:r>
      <w:r>
        <w:rPr>
          <w:rFonts w:hint="eastAsia" w:ascii="仿宋" w:hAnsi="仿宋" w:eastAsia="仿宋"/>
          <w:b/>
          <w:bCs/>
          <w:szCs w:val="32"/>
          <w:highlight w:val="none"/>
          <w:lang w:val="en-US" w:eastAsia="zh-CN"/>
        </w:rPr>
        <w:t>利息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</w:rPr>
        <w:t>于分期业务办理成功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当期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起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逐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  <w:lang w:val="en-US" w:eastAsia="zh-CN"/>
        </w:rPr>
        <w:t>期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</w:rPr>
        <w:t>计入持卡人信用卡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  <w:lang w:val="en-US" w:eastAsia="zh-CN"/>
        </w:rPr>
        <w:t>人民币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</w:rPr>
        <w:t>账户。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分期每期</w:t>
      </w: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利息</w:t>
      </w:r>
      <w:r>
        <w:rPr>
          <w:rFonts w:hint="eastAsia" w:ascii="仿宋" w:hAnsi="仿宋" w:eastAsia="仿宋"/>
          <w:b/>
          <w:bCs/>
          <w:szCs w:val="32"/>
          <w:highlight w:val="none"/>
        </w:rPr>
        <w:t>=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zh-CN"/>
        </w:rPr>
        <w:t>分期本金总额*月分期利息比例</w:t>
      </w: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，利息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一经收取，不予退还。</w:t>
      </w:r>
    </w:p>
    <w:p>
      <w:pPr>
        <w:pStyle w:val="32"/>
        <w:widowControl w:val="0"/>
        <w:autoSpaceDE w:val="0"/>
        <w:autoSpaceDN w:val="0"/>
        <w:spacing w:line="560" w:lineRule="exact"/>
        <w:ind w:firstLine="562" w:firstLineChars="200"/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持卡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人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当期非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eastAsia="zh-CN"/>
        </w:rPr>
        <w:t>取现类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交易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自账单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val="en-US" w:eastAsia="zh-CN"/>
        </w:rPr>
        <w:t>出账次日起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至到期还款日（含）为免息还款期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免息还款期内偿还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期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全部应还款额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无需支付非取现交易的利息，否则当期账单不享受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免息还款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待遇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计入当期账单的分期本金将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从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当期账单出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账日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起按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日利率万分之五（年化利率18.25%，年化利率=日利率*365）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计收利息至清偿日止，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val="en-US" w:eastAsia="zh-CN"/>
        </w:rPr>
        <w:t>对未按时支付的利息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日利率万分之五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（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年化利率18.25%，年化利率=日利率*365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按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月计收复利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至清偿日止，如有变动按中国人民银行的有关规定执行。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若持卡人要对已成功办理的分期业务提前清偿未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到期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的分期款项，须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通过本行官方渠道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申请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终止该笔分期业务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终止后剩余未出账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分期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本金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将在分期终止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的当期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全额列入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信用卡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账单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分期提前还款手续费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将在分期终止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的当期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列入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信用卡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已收取的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eastAsia="zh-CN"/>
        </w:rPr>
        <w:t>分期利息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不予退还。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分期提前还款手续费收取标准如下：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（一）按照剩余未还分期本金的3%收取分期提前还款手续费；</w:t>
      </w:r>
    </w:p>
    <w:p>
      <w:pPr>
        <w:autoSpaceDN/>
        <w:spacing w:line="600" w:lineRule="exact"/>
        <w:ind w:firstLine="602" w:firstLineChars="200"/>
        <w:jc w:val="left"/>
        <w:outlineLvl w:val="9"/>
        <w:rPr>
          <w:rStyle w:val="24"/>
          <w:rFonts w:hint="eastAsia" w:ascii="仿宋" w:hAnsi="仿宋" w:eastAsia="仿宋" w:cs="仿宋"/>
          <w:b w:val="0"/>
          <w:i w:val="0"/>
          <w:iCs w:val="0"/>
          <w:color w:val="292929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eastAsia="zh-CN"/>
        </w:rPr>
        <w:t>人才钻石卡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申请提前结清的，不收取提前还款手续费。</w:t>
      </w:r>
    </w:p>
    <w:p>
      <w:pPr>
        <w:autoSpaceDN w:val="0"/>
        <w:spacing w:line="600" w:lineRule="exact"/>
        <w:ind w:firstLine="0" w:firstLineChars="0"/>
        <w:jc w:val="center"/>
        <w:outlineLvl w:val="2"/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</w:pPr>
      <w:r>
        <w:rPr>
          <w:rStyle w:val="24"/>
          <w:rFonts w:hint="eastAsia" w:ascii="黑体" w:hAnsi="黑体" w:eastAsia="黑体" w:cs="黑体"/>
          <w:b w:val="0"/>
          <w:bCs w:val="0"/>
          <w:color w:val="292929"/>
          <w:sz w:val="32"/>
          <w:szCs w:val="32"/>
          <w:highlight w:val="none"/>
        </w:rPr>
        <w:t>第</w:t>
      </w:r>
      <w:r>
        <w:rPr>
          <w:rStyle w:val="24"/>
          <w:rFonts w:hint="eastAsia" w:ascii="黑体" w:hAnsi="黑体" w:eastAsia="黑体" w:cs="黑体"/>
          <w:b w:val="0"/>
          <w:bCs w:val="0"/>
          <w:color w:val="292929"/>
          <w:sz w:val="32"/>
          <w:szCs w:val="32"/>
          <w:highlight w:val="none"/>
          <w:lang w:val="en-US" w:eastAsia="zh-CN"/>
        </w:rPr>
        <w:t>二</w:t>
      </w:r>
      <w:r>
        <w:rPr>
          <w:rStyle w:val="24"/>
          <w:rFonts w:hint="eastAsia" w:ascii="黑体" w:hAnsi="黑体" w:eastAsia="黑体" w:cs="黑体"/>
          <w:b w:val="0"/>
          <w:bCs w:val="0"/>
          <w:color w:val="292929"/>
          <w:sz w:val="32"/>
          <w:szCs w:val="32"/>
          <w:highlight w:val="none"/>
        </w:rPr>
        <w:t>条 声明事项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一、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消费分期业务是指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持卡人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针对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单笔消费金额达到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规定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最低分期金额的交易，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在消费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交易入账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以后可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主动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向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申请把该笔消费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交易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拆分为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多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次还款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，并</w:t>
      </w:r>
      <w:r>
        <w:rPr>
          <w:rFonts w:ascii="仿宋" w:hAnsi="仿宋" w:eastAsia="仿宋" w:cs="仿宋"/>
          <w:color w:val="000000"/>
          <w:szCs w:val="32"/>
          <w:highlight w:val="none"/>
        </w:rPr>
        <w:t>向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本行</w:t>
      </w:r>
      <w:r>
        <w:rPr>
          <w:rFonts w:ascii="仿宋" w:hAnsi="仿宋" w:eastAsia="仿宋" w:cs="仿宋"/>
          <w:color w:val="000000"/>
          <w:szCs w:val="32"/>
          <w:highlight w:val="none"/>
        </w:rPr>
        <w:t>支付相应的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分期利息</w:t>
      </w:r>
      <w:r>
        <w:rPr>
          <w:rFonts w:ascii="仿宋" w:hAnsi="仿宋" w:eastAsia="仿宋" w:cs="仿宋"/>
          <w:color w:val="000000"/>
          <w:szCs w:val="32"/>
          <w:highlight w:val="none"/>
        </w:rPr>
        <w:t>。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二、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消费分期业务限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信用卡个人卡主卡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持卡人申请，附属卡的持卡人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不能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申请。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 w:cs="仿宋_GB2312"/>
          <w:bCs/>
          <w:szCs w:val="32"/>
          <w:highlight w:val="none"/>
          <w:lang w:eastAsia="zh-CN"/>
        </w:rPr>
        <w:t>三、</w:t>
      </w:r>
      <w:r>
        <w:rPr>
          <w:rFonts w:hint="eastAsia" w:ascii="仿宋" w:hAnsi="仿宋" w:eastAsia="仿宋" w:cs="仿宋_GB2312"/>
          <w:bCs/>
          <w:szCs w:val="32"/>
          <w:highlight w:val="none"/>
        </w:rPr>
        <w:t>持卡人申请</w:t>
      </w:r>
      <w:r>
        <w:rPr>
          <w:rFonts w:hint="eastAsia" w:ascii="仿宋" w:hAnsi="仿宋" w:eastAsia="仿宋" w:cs="仿宋_GB2312"/>
          <w:bCs/>
          <w:szCs w:val="32"/>
          <w:highlight w:val="none"/>
          <w:lang w:eastAsia="zh-CN"/>
        </w:rPr>
        <w:t>本行消费</w:t>
      </w:r>
      <w:r>
        <w:rPr>
          <w:rFonts w:hint="eastAsia" w:ascii="仿宋" w:hAnsi="仿宋" w:eastAsia="仿宋" w:cs="仿宋_GB2312"/>
          <w:bCs/>
          <w:szCs w:val="32"/>
          <w:highlight w:val="none"/>
        </w:rPr>
        <w:t>分期业务的资格同时受</w:t>
      </w:r>
      <w:r>
        <w:rPr>
          <w:rFonts w:hint="eastAsia" w:ascii="仿宋" w:hAnsi="仿宋" w:eastAsia="仿宋" w:cs="仿宋_GB2312"/>
          <w:bCs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_GB2312"/>
          <w:bCs/>
          <w:szCs w:val="32"/>
          <w:highlight w:val="none"/>
        </w:rPr>
        <w:t>风险政策的限制，持卡人是否具有业务申请的资格以</w:t>
      </w:r>
      <w:r>
        <w:rPr>
          <w:rFonts w:hint="eastAsia" w:ascii="仿宋" w:hAnsi="仿宋" w:eastAsia="仿宋" w:cs="仿宋_GB2312"/>
          <w:bCs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_GB2312"/>
          <w:bCs/>
          <w:szCs w:val="32"/>
          <w:highlight w:val="none"/>
        </w:rPr>
        <w:t>综合评定为准。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四、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持卡人可通过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信用卡小程序、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手机银行、微信银行、网上银行、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云闪付APP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等渠道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主动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申请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消费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分期业务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，或通过本行合作商户端在交易时办理消费分期业务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。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default" w:ascii="仿宋" w:hAnsi="仿宋" w:eastAsia="仿宋" w:cs="仿宋"/>
          <w:color w:val="000000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五、消费分期业务仅支持本行标准卡系列持卡人办理，具体产品分类详见</w:t>
      </w:r>
      <w:bookmarkStart w:id="0" w:name="_Hlk55771411"/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《</w:t>
      </w:r>
      <w:r>
        <w:rPr>
          <w:rFonts w:hint="eastAsia" w:ascii="仿宋" w:hAnsi="仿宋" w:eastAsia="仿宋" w:cs="仿宋"/>
          <w:b w:val="0"/>
          <w:color w:val="000000"/>
          <w:sz w:val="32"/>
          <w:szCs w:val="32"/>
          <w:highlight w:val="none"/>
        </w:rPr>
        <w:t>海</w:t>
      </w:r>
      <w:r>
        <w:rPr>
          <w:rFonts w:hint="eastAsia" w:ascii="仿宋" w:hAnsi="仿宋" w:eastAsia="仿宋" w:cs="仿宋"/>
          <w:b w:val="0"/>
          <w:bCs/>
          <w:i w:val="0"/>
          <w:iCs w:val="0"/>
          <w:sz w:val="32"/>
          <w:szCs w:val="32"/>
          <w:highlight w:val="none"/>
          <w:u w:val="none"/>
          <w:lang w:eastAsia="zh-CN"/>
        </w:rPr>
        <w:t>南</w:t>
      </w:r>
      <w:r>
        <w:rPr>
          <w:rFonts w:hint="eastAsia" w:ascii="仿宋" w:hAnsi="仿宋" w:eastAsia="仿宋" w:cs="仿宋"/>
          <w:b w:val="0"/>
          <w:color w:val="000000"/>
          <w:sz w:val="32"/>
          <w:szCs w:val="32"/>
          <w:highlight w:val="none"/>
        </w:rPr>
        <w:t>农村商业银行股份有限公司信用卡章程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》</w:t>
      </w:r>
      <w:bookmarkEnd w:id="0"/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。</w:t>
      </w:r>
    </w:p>
    <w:p>
      <w:pPr>
        <w:autoSpaceDN w:val="0"/>
        <w:spacing w:line="600" w:lineRule="exact"/>
        <w:ind w:firstLine="0" w:firstLineChars="0"/>
        <w:jc w:val="center"/>
        <w:outlineLvl w:val="2"/>
        <w:rPr>
          <w:rFonts w:ascii="黑体" w:eastAsia="黑体"/>
          <w:bCs/>
          <w:szCs w:val="36"/>
          <w:highlight w:val="none"/>
        </w:rPr>
      </w:pPr>
      <w:r>
        <w:rPr>
          <w:rFonts w:hint="eastAsia" w:ascii="黑体" w:hAnsi="黑体" w:eastAsia="黑体" w:cs="黑体"/>
          <w:b w:val="0"/>
          <w:bCs/>
          <w:szCs w:val="32"/>
          <w:highlight w:val="none"/>
        </w:rPr>
        <w:t>第</w:t>
      </w:r>
      <w:r>
        <w:rPr>
          <w:rFonts w:hint="eastAsia" w:ascii="黑体" w:hAnsi="黑体" w:eastAsia="黑体" w:cs="黑体"/>
          <w:b w:val="0"/>
          <w:bCs/>
          <w:szCs w:val="32"/>
          <w:highlight w:val="none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/>
          <w:szCs w:val="32"/>
          <w:highlight w:val="none"/>
        </w:rPr>
        <w:t>条 申请及发放</w:t>
      </w:r>
    </w:p>
    <w:p>
      <w:pPr>
        <w:autoSpaceDN w:val="0"/>
        <w:spacing w:line="600" w:lineRule="exact"/>
        <w:ind w:right="0" w:rightChars="0" w:firstLine="602" w:firstLineChars="200"/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</w:pPr>
      <w:r>
        <w:rPr>
          <w:rFonts w:hint="eastAsia" w:ascii="仿宋" w:hAnsi="仿宋" w:eastAsia="仿宋" w:cs="仿宋_GB2312"/>
          <w:b/>
          <w:bCs w:val="0"/>
          <w:szCs w:val="32"/>
          <w:highlight w:val="none"/>
          <w:lang w:eastAsia="zh-CN"/>
        </w:rPr>
        <w:t>一、</w:t>
      </w:r>
      <w:r>
        <w:rPr>
          <w:rFonts w:hint="eastAsia" w:ascii="仿宋" w:hAnsi="仿宋" w:eastAsia="仿宋" w:cs="仿宋"/>
          <w:b/>
          <w:bCs w:val="0"/>
          <w:color w:val="292929"/>
          <w:szCs w:val="32"/>
          <w:highlight w:val="none"/>
        </w:rPr>
        <w:t>消费分期业务仅限人民币币种，</w:t>
      </w:r>
      <w:r>
        <w:rPr>
          <w:rFonts w:hint="eastAsia" w:ascii="仿宋" w:hAnsi="仿宋" w:eastAsia="仿宋" w:cs="仿宋"/>
          <w:b/>
          <w:bCs w:val="0"/>
          <w:i w:val="0"/>
          <w:iCs w:val="0"/>
          <w:color w:val="292929"/>
          <w:szCs w:val="32"/>
          <w:highlight w:val="none"/>
        </w:rPr>
        <w:t>持卡人可申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</w:rPr>
        <w:t>请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分期的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金额</w:t>
      </w:r>
      <w:r>
        <w:rPr>
          <w:rFonts w:hint="eastAsia" w:ascii="仿宋" w:hAnsi="仿宋" w:eastAsia="仿宋" w:cs="仿宋"/>
          <w:b/>
          <w:bCs/>
          <w:i w:val="0"/>
          <w:iCs w:val="0"/>
          <w:szCs w:val="32"/>
          <w:highlight w:val="none"/>
          <w:u w:val="none"/>
        </w:rPr>
        <w:t>在信用卡可用额度范围内，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且每次申请的金额最低为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00元。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同时，本业务不支持对单笔交易中的部分金额申请消费分期。</w:t>
      </w:r>
    </w:p>
    <w:p>
      <w:pPr>
        <w:autoSpaceDN w:val="0"/>
        <w:spacing w:line="600" w:lineRule="exact"/>
        <w:ind w:right="0" w:rightChars="0" w:firstLine="586" w:firstLineChars="200"/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</w:pPr>
      <w:r>
        <w:rPr>
          <w:rFonts w:hint="eastAsia" w:ascii="仿宋" w:hAnsi="仿宋" w:eastAsia="仿宋"/>
          <w:b/>
          <w:color w:val="000000"/>
          <w:spacing w:val="-4"/>
          <w:sz w:val="32"/>
          <w:highlight w:val="none"/>
          <w:lang w:val="en-US" w:eastAsia="zh-CN"/>
        </w:rPr>
        <w:t>二、</w:t>
      </w:r>
      <w:r>
        <w:rPr>
          <w:rFonts w:hint="eastAsia" w:ascii="仿宋" w:hAnsi="仿宋" w:eastAsia="仿宋"/>
          <w:b/>
          <w:color w:val="000000"/>
          <w:spacing w:val="-4"/>
          <w:sz w:val="32"/>
          <w:highlight w:val="none"/>
        </w:rPr>
        <w:t>分期业务办理成功后，分期金额将占用持卡人专项分期额度（如有）或</w:t>
      </w:r>
      <w:r>
        <w:rPr>
          <w:rFonts w:hint="eastAsia" w:ascii="仿宋" w:hAnsi="仿宋" w:eastAsia="仿宋"/>
          <w:b/>
          <w:color w:val="000000"/>
          <w:spacing w:val="-4"/>
          <w:sz w:val="32"/>
          <w:highlight w:val="none"/>
          <w:lang w:eastAsia="zh-CN"/>
        </w:rPr>
        <w:t>消费</w:t>
      </w:r>
      <w:r>
        <w:rPr>
          <w:rFonts w:hint="eastAsia" w:ascii="仿宋" w:hAnsi="仿宋" w:eastAsia="仿宋"/>
          <w:b/>
          <w:color w:val="000000"/>
          <w:spacing w:val="-4"/>
          <w:sz w:val="32"/>
          <w:highlight w:val="none"/>
        </w:rPr>
        <w:t>额度，且优先占用专项分期额度，超出专项分期额度部分则占用持卡人</w:t>
      </w:r>
      <w:r>
        <w:rPr>
          <w:rFonts w:hint="eastAsia" w:ascii="仿宋" w:hAnsi="仿宋" w:eastAsia="仿宋"/>
          <w:b/>
          <w:color w:val="000000"/>
          <w:spacing w:val="-4"/>
          <w:sz w:val="32"/>
          <w:highlight w:val="none"/>
          <w:lang w:eastAsia="zh-CN"/>
        </w:rPr>
        <w:t>消费</w:t>
      </w:r>
      <w:r>
        <w:rPr>
          <w:rFonts w:hint="eastAsia" w:ascii="仿宋" w:hAnsi="仿宋" w:eastAsia="仿宋"/>
          <w:b/>
          <w:color w:val="000000"/>
          <w:spacing w:val="-4"/>
          <w:sz w:val="32"/>
          <w:highlight w:val="none"/>
        </w:rPr>
        <w:t>额度。专项分期额度可循环使用，且仅可办理分期，无法直接用于消费。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 w:firstLine="452" w:firstLineChars="150"/>
        <w:textAlignment w:val="auto"/>
        <w:outlineLvl w:val="2"/>
        <w:rPr>
          <w:rFonts w:hint="eastAsia"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</w:rPr>
        <w:t xml:space="preserve"> 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不能申请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消费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分期的交易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包含但不限于</w:t>
      </w:r>
      <w:r>
        <w:rPr>
          <w:rFonts w:hint="eastAsia" w:ascii="仿宋" w:hAnsi="仿宋" w:eastAsia="仿宋"/>
          <w:szCs w:val="32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 w:firstLine="452" w:firstLineChars="150"/>
        <w:textAlignment w:val="auto"/>
        <w:outlineLvl w:val="2"/>
        <w:rPr>
          <w:rFonts w:hint="eastAsia"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</w:rPr>
        <w:t>（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一</w:t>
      </w:r>
      <w:r>
        <w:rPr>
          <w:rFonts w:hint="eastAsia" w:ascii="仿宋" w:hAnsi="仿宋" w:eastAsia="仿宋"/>
          <w:szCs w:val="32"/>
          <w:highlight w:val="none"/>
        </w:rPr>
        <w:t>）</w:t>
      </w:r>
      <w:r>
        <w:rPr>
          <w:rFonts w:ascii="仿宋" w:hAnsi="仿宋" w:eastAsia="仿宋"/>
          <w:szCs w:val="32"/>
          <w:highlight w:val="none"/>
        </w:rPr>
        <w:t>预借现金交易</w:t>
      </w:r>
      <w:r>
        <w:rPr>
          <w:rFonts w:hint="eastAsia" w:ascii="仿宋" w:hAnsi="仿宋" w:eastAsia="仿宋"/>
          <w:szCs w:val="32"/>
          <w:highlight w:val="none"/>
        </w:rPr>
        <w:t>、</w:t>
      </w:r>
      <w:r>
        <w:rPr>
          <w:rFonts w:ascii="仿宋" w:hAnsi="仿宋" w:eastAsia="仿宋"/>
          <w:szCs w:val="32"/>
          <w:highlight w:val="none"/>
        </w:rPr>
        <w:t>分期付款交易</w:t>
      </w:r>
      <w:r>
        <w:rPr>
          <w:rFonts w:hint="eastAsia" w:ascii="仿宋" w:hAnsi="仿宋" w:eastAsia="仿宋"/>
          <w:szCs w:val="32"/>
          <w:highlight w:val="none"/>
        </w:rPr>
        <w:t>、</w:t>
      </w:r>
      <w:r>
        <w:rPr>
          <w:rFonts w:ascii="仿宋" w:hAnsi="仿宋" w:eastAsia="仿宋"/>
          <w:szCs w:val="32"/>
          <w:highlight w:val="none"/>
        </w:rPr>
        <w:t>各项费用（如年费、</w:t>
      </w:r>
      <w:r>
        <w:rPr>
          <w:rFonts w:hint="eastAsia" w:ascii="仿宋" w:hAnsi="仿宋" w:eastAsia="仿宋"/>
          <w:szCs w:val="32"/>
          <w:highlight w:val="none"/>
        </w:rPr>
        <w:t>手续费、</w:t>
      </w:r>
      <w:r>
        <w:rPr>
          <w:rFonts w:ascii="仿宋" w:hAnsi="仿宋" w:eastAsia="仿宋"/>
          <w:szCs w:val="32"/>
          <w:highlight w:val="none"/>
        </w:rPr>
        <w:t>利息、</w:t>
      </w:r>
      <w:r>
        <w:rPr>
          <w:rFonts w:hint="eastAsia" w:ascii="仿宋" w:hAnsi="仿宋" w:eastAsia="仿宋"/>
          <w:szCs w:val="32"/>
          <w:highlight w:val="none"/>
        </w:rPr>
        <w:t>违约</w:t>
      </w:r>
      <w:r>
        <w:rPr>
          <w:rFonts w:ascii="仿宋" w:hAnsi="仿宋" w:eastAsia="仿宋"/>
          <w:szCs w:val="32"/>
          <w:highlight w:val="none"/>
        </w:rPr>
        <w:t>金及其他信用卡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费用</w:t>
      </w:r>
      <w:r>
        <w:rPr>
          <w:rFonts w:hint="eastAsia" w:ascii="仿宋" w:hAnsi="仿宋" w:eastAsia="仿宋"/>
          <w:szCs w:val="32"/>
          <w:highlight w:val="none"/>
        </w:rPr>
        <w:t>等</w:t>
      </w:r>
      <w:r>
        <w:rPr>
          <w:rFonts w:ascii="仿宋" w:hAnsi="仿宋" w:eastAsia="仿宋"/>
          <w:szCs w:val="32"/>
          <w:highlight w:val="none"/>
        </w:rPr>
        <w:t>）</w:t>
      </w:r>
      <w:r>
        <w:rPr>
          <w:rFonts w:hint="eastAsia" w:ascii="仿宋" w:hAnsi="仿宋" w:eastAsia="仿宋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 w:firstLine="452" w:firstLineChars="150"/>
        <w:textAlignment w:val="auto"/>
        <w:outlineLvl w:val="2"/>
        <w:rPr>
          <w:rFonts w:hint="eastAsia"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</w:rPr>
        <w:t>（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二</w:t>
      </w:r>
      <w:r>
        <w:rPr>
          <w:rFonts w:hint="eastAsia" w:ascii="仿宋" w:hAnsi="仿宋" w:eastAsia="仿宋"/>
          <w:szCs w:val="32"/>
          <w:highlight w:val="none"/>
        </w:rPr>
        <w:t>）持卡人申请的临时额度；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 w:firstLine="452" w:firstLineChars="150"/>
        <w:textAlignment w:val="auto"/>
        <w:outlineLvl w:val="2"/>
        <w:rPr>
          <w:rFonts w:hint="eastAsia"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</w:rPr>
        <w:t>（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三</w:t>
      </w:r>
      <w:r>
        <w:rPr>
          <w:rFonts w:hint="eastAsia" w:ascii="仿宋" w:hAnsi="仿宋" w:eastAsia="仿宋"/>
          <w:szCs w:val="32"/>
          <w:highlight w:val="none"/>
        </w:rPr>
        <w:t>）已出账单的消费交易；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right="0" w:rightChars="0" w:firstLine="452" w:firstLineChars="150"/>
        <w:textAlignment w:val="auto"/>
        <w:outlineLvl w:val="2"/>
        <w:rPr>
          <w:rFonts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</w:rPr>
        <w:t>（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四</w:t>
      </w:r>
      <w:r>
        <w:rPr>
          <w:rFonts w:hint="eastAsia" w:ascii="仿宋" w:hAnsi="仿宋" w:eastAsia="仿宋"/>
          <w:szCs w:val="32"/>
          <w:highlight w:val="none"/>
        </w:rPr>
        <w:t>）其他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/>
          <w:szCs w:val="32"/>
          <w:highlight w:val="none"/>
        </w:rPr>
        <w:t>认为不能申请消费分期的情形。</w:t>
      </w:r>
    </w:p>
    <w:p>
      <w:pPr>
        <w:autoSpaceDN w:val="0"/>
        <w:spacing w:line="560" w:lineRule="exact"/>
        <w:ind w:right="-57" w:rightChars="-19" w:firstLine="602" w:firstLineChars="200"/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</w:pP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四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、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已成功办理的消费分期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业务不受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相关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消费交易退货的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影响，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持卡人仍须按其已办理的分期业务支付相应分期款项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。</w:t>
      </w:r>
    </w:p>
    <w:p>
      <w:pPr>
        <w:spacing w:line="600" w:lineRule="exact"/>
        <w:ind w:firstLine="602" w:firstLineChars="200"/>
        <w:jc w:val="left"/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消费分期一经审核通过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入账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则不能撤销，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亦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不能对分期金额和期数进行更改。</w:t>
      </w:r>
    </w:p>
    <w:p>
      <w:pPr>
        <w:spacing w:line="600" w:lineRule="exact"/>
        <w:ind w:firstLine="602" w:firstLineChars="200"/>
        <w:jc w:val="left"/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六、本行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通过包括但不限于电话、短信、网络或其他数据电文的形式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对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持卡人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进行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产品办理的要素内容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确认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。</w:t>
      </w:r>
    </w:p>
    <w:p>
      <w:pPr>
        <w:spacing w:line="600" w:lineRule="exact"/>
        <w:ind w:firstLine="602" w:firstLineChars="200"/>
        <w:jc w:val="left"/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</w:pPr>
      <w:r>
        <w:rPr>
          <w:rFonts w:hint="eastAsia" w:ascii="仿宋" w:hAnsi="仿宋" w:eastAsia="仿宋"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消费分期申请是否通过，以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综合评定结果为准。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持卡人可通过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信用卡小程序、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手机银行、微信银行、网上银行、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拨打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highlight w:val="none"/>
        </w:rPr>
        <w:t>96588客服电话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等渠道查询已申请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消费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分期业务的详细情况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。</w:t>
      </w:r>
    </w:p>
    <w:p>
      <w:pPr>
        <w:autoSpaceDN w:val="0"/>
        <w:spacing w:line="600" w:lineRule="exact"/>
        <w:ind w:firstLine="0" w:firstLineChars="0"/>
        <w:jc w:val="center"/>
        <w:outlineLvl w:val="0"/>
        <w:rPr>
          <w:rFonts w:hint="eastAsia" w:ascii="黑体" w:hAnsi="黑体" w:eastAsia="黑体" w:cs="黑体"/>
          <w:szCs w:val="36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Cs w:val="36"/>
          <w:highlight w:val="none"/>
        </w:rPr>
        <w:t>第</w:t>
      </w:r>
      <w:r>
        <w:rPr>
          <w:rFonts w:hint="eastAsia" w:ascii="黑体" w:hAnsi="黑体" w:eastAsia="黑体" w:cs="黑体"/>
          <w:b w:val="0"/>
          <w:bCs w:val="0"/>
          <w:szCs w:val="36"/>
          <w:highlight w:val="none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Cs w:val="36"/>
          <w:highlight w:val="none"/>
        </w:rPr>
        <w:t>条 使用、收费及还款</w:t>
      </w:r>
    </w:p>
    <w:p>
      <w:pPr>
        <w:autoSpaceDN w:val="0"/>
        <w:spacing w:line="600" w:lineRule="exact"/>
        <w:ind w:firstLine="602" w:firstLineChars="200"/>
        <w:outlineLvl w:val="0"/>
        <w:rPr>
          <w:rFonts w:hint="eastAsia"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  <w:lang w:eastAsia="zh-CN"/>
        </w:rPr>
        <w:t>一、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为持卡人提供3期、6期、9期、12期、18期、24期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36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  <w:t>期、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val="en-US" w:eastAsia="zh-CN"/>
        </w:rPr>
        <w:t>48期和60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期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多种分期期数选择，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实际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  <w:lang w:eastAsia="zh-CN"/>
        </w:rPr>
        <w:t>期数及近似年化利率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以申请</w:t>
      </w:r>
      <w:r>
        <w:rPr>
          <w:rFonts w:hint="default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  <w:lang w:val="en-US"/>
        </w:rPr>
        <w:t>界面展示结果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为准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。</w:t>
      </w:r>
    </w:p>
    <w:p>
      <w:pPr>
        <w:spacing w:line="600" w:lineRule="exact"/>
        <w:ind w:firstLine="602" w:firstLineChars="200"/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szCs w:val="32"/>
          <w:highlight w:val="none"/>
          <w:lang w:eastAsia="zh-CN"/>
        </w:rPr>
        <w:t>二、</w:t>
      </w:r>
      <w:r>
        <w:rPr>
          <w:rFonts w:hint="eastAsia" w:ascii="仿宋" w:hAnsi="仿宋" w:eastAsia="仿宋" w:cs="仿宋"/>
          <w:b w:val="0"/>
          <w:bCs w:val="0"/>
          <w:color w:val="000000"/>
          <w:szCs w:val="32"/>
          <w:highlight w:val="none"/>
        </w:rPr>
        <w:t>持卡人申请</w:t>
      </w:r>
      <w:r>
        <w:rPr>
          <w:rFonts w:hint="eastAsia" w:ascii="仿宋" w:hAnsi="仿宋" w:eastAsia="仿宋" w:cs="仿宋"/>
          <w:b w:val="0"/>
          <w:bCs w:val="0"/>
          <w:color w:val="000000"/>
          <w:szCs w:val="32"/>
          <w:highlight w:val="none"/>
          <w:lang w:eastAsia="zh-CN"/>
        </w:rPr>
        <w:t>消费</w:t>
      </w:r>
      <w:r>
        <w:rPr>
          <w:rFonts w:hint="eastAsia" w:ascii="仿宋" w:hAnsi="仿宋" w:eastAsia="仿宋" w:cs="仿宋"/>
          <w:b w:val="0"/>
          <w:bCs w:val="0"/>
          <w:color w:val="000000"/>
          <w:szCs w:val="32"/>
          <w:highlight w:val="none"/>
        </w:rPr>
        <w:t>分期成功后，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  <w:t>分期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val="en-US" w:eastAsia="zh-CN"/>
        </w:rPr>
        <w:t>本金及分期利息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  <w:t>将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val="en-US" w:eastAsia="zh-CN"/>
        </w:rPr>
        <w:t>根据持卡人选择的还款方式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</w:rPr>
        <w:t>列入账单</w:t>
      </w: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eastAsia="zh-CN"/>
        </w:rPr>
        <w:t>：</w:t>
      </w:r>
    </w:p>
    <w:p>
      <w:pPr>
        <w:spacing w:line="600" w:lineRule="exact"/>
        <w:ind w:firstLine="602" w:firstLineChars="200"/>
        <w:rPr>
          <w:rFonts w:hint="eastAsia" w:ascii="仿宋" w:hAnsi="仿宋" w:eastAsia="仿宋"/>
          <w:szCs w:val="32"/>
          <w:highlight w:val="none"/>
        </w:rPr>
      </w:pPr>
      <w:r>
        <w:rPr>
          <w:rStyle w:val="24"/>
          <w:rFonts w:hint="eastAsia" w:ascii="仿宋" w:hAnsi="仿宋" w:eastAsia="仿宋" w:cs="仿宋"/>
          <w:b w:val="0"/>
          <w:bCs w:val="0"/>
          <w:color w:val="292929"/>
          <w:sz w:val="32"/>
          <w:szCs w:val="32"/>
          <w:highlight w:val="none"/>
          <w:lang w:eastAsia="zh-CN"/>
        </w:rPr>
        <w:t>（一）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消费分期每期应还本金 = 分期本金总额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÷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分期期数，每期应还本金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  <w:lang w:val="en-US" w:eastAsia="zh-CN"/>
        </w:rPr>
        <w:t>自分期业务办理成功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当期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起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（精确到分）逐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期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计入持卡人信用卡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人民币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账户，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如本金无法除尽，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余数计入最后一期。</w:t>
      </w:r>
    </w:p>
    <w:p>
      <w:pPr>
        <w:spacing w:line="600" w:lineRule="exact"/>
        <w:ind w:firstLine="602" w:firstLineChars="200"/>
        <w:rPr>
          <w:rFonts w:hint="eastAsia" w:ascii="仿宋" w:hAnsi="仿宋" w:eastAsia="仿宋"/>
          <w:b/>
          <w:bCs/>
          <w:i/>
          <w:iCs/>
          <w:szCs w:val="32"/>
          <w:highlight w:val="none"/>
          <w:u w:val="single"/>
        </w:rPr>
      </w:pP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（二）</w:t>
      </w:r>
      <w:r>
        <w:rPr>
          <w:rFonts w:hint="eastAsia" w:ascii="仿宋" w:hAnsi="仿宋" w:eastAsia="仿宋"/>
          <w:b/>
          <w:bCs/>
          <w:szCs w:val="32"/>
          <w:highlight w:val="none"/>
          <w:lang w:val="en-US" w:eastAsia="zh-CN"/>
        </w:rPr>
        <w:t>分期利息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于消费分期业务办理成功后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当期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起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逐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  <w:lang w:val="en-US" w:eastAsia="zh-CN"/>
        </w:rPr>
        <w:t>期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</w:rPr>
        <w:t>计入持卡人信用卡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  <w:lang w:val="en-US" w:eastAsia="zh-CN"/>
        </w:rPr>
        <w:t>人民币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</w:rPr>
        <w:t>账户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。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消费分期每期</w:t>
      </w: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利息</w:t>
      </w:r>
      <w:r>
        <w:rPr>
          <w:rFonts w:hint="eastAsia" w:ascii="仿宋" w:hAnsi="仿宋" w:eastAsia="仿宋"/>
          <w:b/>
          <w:bCs/>
          <w:szCs w:val="32"/>
          <w:highlight w:val="none"/>
        </w:rPr>
        <w:t xml:space="preserve"> = 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zh-CN"/>
        </w:rPr>
        <w:t>分期本金总额*月分期利息比例</w:t>
      </w: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，利息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一经收取，不予退还。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</w:pPr>
      <w:r>
        <w:rPr>
          <w:rFonts w:hint="eastAsia" w:ascii="仿宋" w:hAnsi="仿宋" w:eastAsia="仿宋"/>
          <w:b/>
          <w:bCs/>
          <w:szCs w:val="32"/>
          <w:highlight w:val="none"/>
          <w:lang w:val="en-US" w:eastAsia="zh-CN"/>
        </w:rPr>
        <w:t>三</w:t>
      </w: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消费分期每期应还本金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每期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应还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利息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将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全额计入持卡人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期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全部应还款额，并同时计入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持卡人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期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最低还款额，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持卡人应根据信用卡账单提示在到期还款日前及时还款。</w:t>
      </w:r>
    </w:p>
    <w:p>
      <w:pPr>
        <w:pStyle w:val="32"/>
        <w:widowControl w:val="0"/>
        <w:autoSpaceDE w:val="0"/>
        <w:autoSpaceDN w:val="0"/>
        <w:spacing w:line="560" w:lineRule="exact"/>
        <w:ind w:firstLine="602" w:firstLineChars="200"/>
        <w:rPr>
          <w:rFonts w:hint="eastAsia" w:ascii="仿宋" w:hAnsi="仿宋" w:eastAsia="仿宋"/>
          <w:b/>
          <w:bCs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四、持卡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人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当期非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eastAsia="zh-CN"/>
        </w:rPr>
        <w:t>取现类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交易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自账单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val="en-US" w:eastAsia="zh-CN"/>
        </w:rPr>
        <w:t>出账次日起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至到期还款日（含）为免息还款期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在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免息还款期内偿还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当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</w:rPr>
        <w:t>期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全部应还款额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无需支付非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eastAsia="zh-CN"/>
        </w:rPr>
        <w:t>取现类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交易的利息，否则当期账单不享受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免息还款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待遇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计入当期账单的分期本金将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从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当期账单出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账日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起按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日利率万分之五（年化利率18.25%，年化利率=日利率*365）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计收利息至清偿日止，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  <w:lang w:val="en-US" w:eastAsia="zh-CN"/>
        </w:rPr>
        <w:t>对未按时支付的利息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日利率万分之五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（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年化利率18.25%，年化利率=日利率*365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）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kern w:val="2"/>
          <w:sz w:val="32"/>
          <w:szCs w:val="32"/>
          <w:highlight w:val="none"/>
          <w:u w:val="none"/>
        </w:rPr>
        <w:t>按</w:t>
      </w:r>
      <w:r>
        <w:rPr>
          <w:rStyle w:val="24"/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月计收复利</w:t>
      </w:r>
      <w:r>
        <w:rPr>
          <w:rFonts w:hint="eastAsia" w:ascii="仿宋" w:hAnsi="仿宋" w:eastAsia="仿宋" w:cs="黑体"/>
          <w:b/>
          <w:bCs/>
          <w:i w:val="0"/>
          <w:iCs w:val="0"/>
          <w:color w:val="000000"/>
          <w:spacing w:val="-4"/>
          <w:sz w:val="32"/>
          <w:szCs w:val="32"/>
          <w:highlight w:val="none"/>
          <w:u w:val="none"/>
        </w:rPr>
        <w:t>至清偿日止，如有变动按中国人民银行的有关规定执行。</w:t>
      </w:r>
    </w:p>
    <w:p>
      <w:pPr>
        <w:spacing w:line="600" w:lineRule="exact"/>
        <w:ind w:firstLine="602" w:firstLineChars="200"/>
        <w:rPr>
          <w:rFonts w:hint="default" w:ascii="仿宋" w:hAnsi="仿宋" w:eastAsia="仿宋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Cs w:val="32"/>
          <w:highlight w:val="none"/>
          <w:lang w:val="en-US" w:eastAsia="zh-CN"/>
        </w:rPr>
        <w:t>五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Cs w:val="32"/>
          <w:highlight w:val="none"/>
        </w:rPr>
        <w:t>消费分期成功</w:t>
      </w:r>
      <w:r>
        <w:rPr>
          <w:rFonts w:hint="eastAsia" w:ascii="仿宋" w:hAnsi="仿宋" w:eastAsia="仿宋"/>
          <w:b w:val="0"/>
          <w:bCs w:val="0"/>
          <w:szCs w:val="32"/>
          <w:highlight w:val="none"/>
        </w:rPr>
        <w:t>后，</w:t>
      </w:r>
      <w:r>
        <w:rPr>
          <w:rFonts w:hint="eastAsia" w:ascii="仿宋" w:hAnsi="仿宋" w:eastAsia="仿宋"/>
          <w:b w:val="0"/>
          <w:bCs w:val="0"/>
          <w:i w:val="0"/>
          <w:iCs w:val="0"/>
          <w:szCs w:val="32"/>
          <w:highlight w:val="none"/>
          <w:u w:val="none"/>
        </w:rPr>
        <w:t>将在额度内冻结分期的金额，即不会立即恢复信用额度。</w:t>
      </w:r>
      <w:r>
        <w:rPr>
          <w:rFonts w:hint="eastAsia" w:ascii="仿宋" w:hAnsi="仿宋" w:eastAsia="仿宋"/>
          <w:b w:val="0"/>
          <w:bCs w:val="0"/>
          <w:szCs w:val="32"/>
          <w:highlight w:val="none"/>
        </w:rPr>
        <w:t>冻结额</w:t>
      </w:r>
      <w:r>
        <w:rPr>
          <w:rFonts w:hint="eastAsia" w:ascii="仿宋" w:hAnsi="仿宋" w:eastAsia="仿宋"/>
          <w:szCs w:val="32"/>
          <w:highlight w:val="none"/>
        </w:rPr>
        <w:t>度将随持卡人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偿还分期本金</w:t>
      </w:r>
      <w:r>
        <w:rPr>
          <w:rFonts w:hint="eastAsia" w:ascii="仿宋" w:hAnsi="仿宋" w:eastAsia="仿宋"/>
          <w:szCs w:val="32"/>
          <w:highlight w:val="none"/>
        </w:rPr>
        <w:t>而逐期恢复，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分期本金正常还款完毕</w:t>
      </w:r>
      <w:r>
        <w:rPr>
          <w:rFonts w:hint="eastAsia" w:ascii="仿宋" w:hAnsi="仿宋" w:eastAsia="仿宋"/>
          <w:szCs w:val="32"/>
          <w:highlight w:val="none"/>
        </w:rPr>
        <w:t>或提前清偿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剩余</w:t>
      </w:r>
      <w:r>
        <w:rPr>
          <w:rFonts w:hint="eastAsia" w:ascii="仿宋" w:hAnsi="仿宋" w:eastAsia="仿宋"/>
          <w:szCs w:val="32"/>
          <w:highlight w:val="none"/>
        </w:rPr>
        <w:t>分期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本金</w:t>
      </w:r>
      <w:r>
        <w:rPr>
          <w:rFonts w:hint="eastAsia" w:ascii="仿宋" w:hAnsi="仿宋" w:eastAsia="仿宋"/>
          <w:szCs w:val="32"/>
          <w:highlight w:val="none"/>
        </w:rPr>
        <w:t>后全部恢复。</w:t>
      </w:r>
    </w:p>
    <w:p>
      <w:pPr>
        <w:spacing w:line="600" w:lineRule="exact"/>
        <w:ind w:firstLine="602" w:firstLineChars="200"/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</w:pPr>
      <w:r>
        <w:rPr>
          <w:rFonts w:hint="eastAsia" w:ascii="仿宋" w:hAnsi="仿宋" w:eastAsia="仿宋"/>
          <w:szCs w:val="32"/>
          <w:highlight w:val="none"/>
          <w:lang w:val="en-US" w:eastAsia="zh-CN"/>
        </w:rPr>
        <w:t>六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已成功办理消费分期业务的持卡人，若按期偿还信用卡当期应还账款后仍有多余款项，该款项不会提前清偿下期消费分期应还本金和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利息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。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/>
          <w:b/>
          <w:bCs/>
          <w:szCs w:val="32"/>
          <w:highlight w:val="none"/>
          <w:lang w:val="en-US" w:eastAsia="zh-CN"/>
        </w:rPr>
        <w:t>七</w:t>
      </w:r>
      <w:r>
        <w:rPr>
          <w:rFonts w:hint="eastAsia" w:ascii="仿宋" w:hAnsi="仿宋" w:eastAsia="仿宋"/>
          <w:b/>
          <w:bCs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若持卡人要对已成功办理的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消费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分期业务提前清偿未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到期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的分期款项，须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通过本行官方渠道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申请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终止该笔分期业务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终止后剩余未出账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分期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本金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将在分期终止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的当期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全额列入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信用卡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账单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分期提前还款手续费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将在分期终止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的当期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列入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</w:rPr>
        <w:t>信用卡</w:t>
      </w:r>
      <w:r>
        <w:rPr>
          <w:rStyle w:val="24"/>
          <w:rFonts w:hint="eastAsia" w:ascii="仿宋" w:hAnsi="仿宋" w:eastAsia="仿宋" w:cs="仿宋"/>
          <w:b/>
          <w:color w:val="auto"/>
          <w:sz w:val="32"/>
          <w:szCs w:val="32"/>
          <w:highlight w:val="none"/>
        </w:rPr>
        <w:t>账单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已收取的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eastAsia="zh-CN"/>
        </w:rPr>
        <w:t>分期利息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不予退还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</w:rPr>
        <w:t>。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分期提前还款手续费收取标准如下：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（一）按照剩余未还分期本金的3%收取分期提前还款手续费；</w:t>
      </w:r>
    </w:p>
    <w:p>
      <w:pPr>
        <w:spacing w:line="600" w:lineRule="exact"/>
        <w:ind w:firstLine="602" w:firstLineChars="200"/>
        <w:rPr>
          <w:rFonts w:hint="default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（二）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eastAsia="zh-CN"/>
        </w:rPr>
        <w:t>人才钻石卡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</w:rPr>
        <w:t>申请提前结清的，不收取提前还款手续费。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color w:val="292929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/>
          <w:bCs/>
          <w:szCs w:val="32"/>
          <w:highlight w:val="none"/>
        </w:rPr>
        <w:t>若持卡人</w:t>
      </w:r>
      <w:r>
        <w:rPr>
          <w:rFonts w:hint="eastAsia" w:ascii="仿宋" w:hAnsi="仿宋" w:eastAsia="仿宋"/>
          <w:b/>
          <w:bCs/>
          <w:szCs w:val="32"/>
          <w:highlight w:val="none"/>
          <w:lang w:val="en-US" w:eastAsia="zh-CN"/>
        </w:rPr>
        <w:t>需</w:t>
      </w:r>
      <w:r>
        <w:rPr>
          <w:rFonts w:hint="eastAsia" w:ascii="仿宋" w:hAnsi="仿宋" w:eastAsia="仿宋"/>
          <w:b/>
          <w:bCs/>
          <w:szCs w:val="32"/>
          <w:highlight w:val="none"/>
        </w:rPr>
        <w:t>在还款期内整户注销信用卡，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已成功办理的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消费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分期业务须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办理提前终止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  <w:lang w:val="en-US" w:eastAsia="zh-CN"/>
        </w:rPr>
        <w:t>并一次性结清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剩余未出账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</w:rPr>
        <w:t>分期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本金，</w:t>
      </w:r>
      <w:r>
        <w:rPr>
          <w:rFonts w:hint="eastAsia" w:ascii="仿宋" w:hAnsi="仿宋" w:eastAsia="仿宋" w:cs="仿宋"/>
          <w:b/>
          <w:bCs/>
          <w:szCs w:val="32"/>
          <w:highlight w:val="none"/>
        </w:rPr>
        <w:t>同时结清剩余</w:t>
      </w:r>
      <w:r>
        <w:rPr>
          <w:rFonts w:hint="eastAsia" w:ascii="仿宋" w:hAnsi="仿宋" w:eastAsia="仿宋" w:cs="仿宋"/>
          <w:b/>
          <w:bCs/>
          <w:szCs w:val="32"/>
          <w:highlight w:val="none"/>
          <w:lang w:eastAsia="zh-CN"/>
        </w:rPr>
        <w:t>分期利息</w:t>
      </w:r>
      <w:r>
        <w:rPr>
          <w:rFonts w:hint="eastAsia" w:ascii="仿宋" w:hAnsi="仿宋" w:eastAsia="仿宋" w:cs="仿宋"/>
          <w:b/>
          <w:bCs/>
          <w:szCs w:val="32"/>
          <w:highlight w:val="none"/>
        </w:rPr>
        <w:t>或分期提前还款手续费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以及违约金、利息等其他相关息费（如有），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已收取的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  <w:lang w:eastAsia="zh-CN"/>
        </w:rPr>
        <w:t>分期利息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不予退还。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</w:pP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若持卡人卡片到期，持卡人有未清偿的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  <w:lang w:val="en-US" w:eastAsia="zh-CN"/>
        </w:rPr>
        <w:t>分期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欠款时，视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  <w:lang w:val="en-US" w:eastAsia="zh-CN"/>
        </w:rPr>
        <w:t>为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持卡人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  <w:lang w:val="en-US" w:eastAsia="zh-CN"/>
        </w:rPr>
        <w:t>同意</w:t>
      </w:r>
      <w:r>
        <w:rPr>
          <w:rFonts w:hint="eastAsia" w:ascii="仿宋" w:hAnsi="仿宋" w:eastAsia="仿宋" w:cs="仿宋_GB2312"/>
          <w:b/>
          <w:bCs/>
          <w:i w:val="0"/>
          <w:iCs w:val="0"/>
          <w:szCs w:val="32"/>
          <w:highlight w:val="none"/>
          <w:u w:val="none"/>
        </w:rPr>
        <w:t>自动续卡。</w:t>
      </w:r>
    </w:p>
    <w:p>
      <w:pPr>
        <w:overflowPunct w:val="0"/>
        <w:spacing w:line="560" w:lineRule="exact"/>
        <w:ind w:firstLine="678" w:firstLineChars="225"/>
        <w:rPr>
          <w:rFonts w:hint="eastAsia" w:ascii="仿宋" w:hAnsi="仿宋" w:eastAsia="仿宋" w:cs="仿宋"/>
          <w:b w:val="0"/>
          <w:bCs w:val="0"/>
          <w:color w:val="292929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292929"/>
          <w:szCs w:val="32"/>
          <w:highlight w:val="none"/>
          <w:lang w:val="en-US" w:eastAsia="zh-CN"/>
        </w:rPr>
        <w:t>九</w:t>
      </w:r>
      <w:r>
        <w:rPr>
          <w:rFonts w:hint="eastAsia" w:ascii="仿宋" w:hAnsi="仿宋" w:eastAsia="仿宋" w:cs="仿宋"/>
          <w:b w:val="0"/>
          <w:bCs w:val="0"/>
          <w:color w:val="292929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highlight w:val="none"/>
          <w:u w:val="none"/>
          <w:lang w:eastAsia="zh-CN"/>
        </w:rPr>
        <w:t>消费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highlight w:val="none"/>
          <w:u w:val="none"/>
        </w:rPr>
        <w:t>分期业务的每期应还本金和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highlight w:val="none"/>
          <w:u w:val="none"/>
          <w:lang w:eastAsia="zh-CN"/>
        </w:rPr>
        <w:t>分期利息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z w:val="32"/>
          <w:szCs w:val="32"/>
          <w:highlight w:val="none"/>
          <w:u w:val="none"/>
        </w:rPr>
        <w:t>均不计算任何形式的积分。</w:t>
      </w:r>
    </w:p>
    <w:p>
      <w:pPr>
        <w:spacing w:line="600" w:lineRule="exact"/>
        <w:ind w:firstLine="602" w:firstLineChars="200"/>
        <w:jc w:val="left"/>
        <w:rPr>
          <w:rFonts w:hint="eastAsia" w:ascii="仿宋" w:hAnsi="仿宋" w:eastAsia="仿宋" w:cs="仿宋"/>
          <w:b/>
          <w:bCs/>
          <w:i/>
          <w:iCs/>
          <w:color w:val="000000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  <w:lang w:eastAsia="zh-CN"/>
        </w:rPr>
        <w:t>十、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持卡人办理消费分期时，视为同时申请进行信用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卡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额度调整，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有权评估并根据持卡人的资信状况及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信用卡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使用情况决定是否调整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其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信用卡额度。无论持卡人是否接受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对其账户信用额度的调整，持卡人对已发生的欠款负有清偿责任。</w:t>
      </w:r>
    </w:p>
    <w:p>
      <w:pPr>
        <w:spacing w:line="600" w:lineRule="exact"/>
        <w:ind w:firstLine="602" w:firstLineChars="200"/>
        <w:jc w:val="left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十一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当持卡人消费分期结清时，</w:t>
      </w:r>
      <w:r>
        <w:rPr>
          <w:rFonts w:hint="eastAsia" w:ascii="仿宋" w:hAnsi="仿宋" w:eastAsia="仿宋" w:cs="仿宋"/>
          <w:color w:val="000000"/>
          <w:szCs w:val="32"/>
          <w:highlight w:val="none"/>
          <w:lang w:eastAsia="zh-CN"/>
        </w:rPr>
        <w:t>本行</w:t>
      </w:r>
      <w:r>
        <w:rPr>
          <w:rFonts w:hint="eastAsia" w:ascii="仿宋" w:hAnsi="仿宋" w:eastAsia="仿宋" w:cs="仿宋"/>
          <w:color w:val="000000"/>
          <w:szCs w:val="32"/>
          <w:highlight w:val="none"/>
        </w:rPr>
        <w:t>有权视综合评估情况对其信用额度进行回调。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  <w:lang w:val="en-US" w:eastAsia="zh-CN"/>
        </w:rPr>
        <w:t>十二</w:t>
      </w:r>
      <w:r>
        <w:rPr>
          <w:rFonts w:hint="eastAsia" w:ascii="仿宋" w:hAnsi="仿宋" w:eastAsia="仿宋" w:cs="仿宋"/>
          <w:b/>
          <w:bCs/>
          <w:color w:val="000000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highlight w:val="none"/>
          <w:u w:val="none"/>
          <w:lang w:eastAsia="zh-CN"/>
        </w:rPr>
        <w:t>持卡人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highlight w:val="none"/>
          <w:u w:val="none"/>
        </w:rPr>
        <w:t>还款时，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正常透支或逾期1-90天（含）的，依次偿还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顺序如下：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按照费用、利息、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预借现金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交易本金、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专项分期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额度分期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结转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本金、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消费额度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结转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本金、消费交易本金的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款项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顺序依次偿还；逾期91天以上的，依次偿还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顺序如下：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按照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预借现金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交易本金、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专项分期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额度分期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结转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本金、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消费额度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结转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本金、消费交易本金、费用、利息的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val="en-US" w:eastAsia="zh-CN"/>
        </w:rPr>
        <w:t>款项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</w:rPr>
        <w:t>顺序依次偿还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 w:val="32"/>
          <w:szCs w:val="32"/>
          <w:highlight w:val="none"/>
          <w:u w:val="none"/>
          <w:lang w:eastAsia="zh-CN"/>
        </w:rPr>
        <w:t>。其中每一类款项分别按先往期、后当期的对账单顺序冲还，往期和当期的各类款项均冲还完毕后，再按上述款项顺序冲还未出对账单的应还款项。</w:t>
      </w:r>
    </w:p>
    <w:p>
      <w:pPr>
        <w:spacing w:line="600" w:lineRule="exact"/>
        <w:ind w:firstLine="602" w:firstLineChars="200"/>
        <w:jc w:val="left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有权根据自身业务发展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调整消费分期业务相关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政策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和收费标准，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具体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以本行官方渠道公告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为准。</w:t>
      </w:r>
    </w:p>
    <w:p>
      <w:pPr>
        <w:autoSpaceDN w:val="0"/>
        <w:spacing w:line="560" w:lineRule="exact"/>
        <w:ind w:right="-493" w:rightChars="-164"/>
        <w:jc w:val="center"/>
        <w:outlineLvl w:val="2"/>
        <w:rPr>
          <w:rFonts w:hint="eastAsia" w:ascii="黑体" w:hAnsi="黑体" w:eastAsia="黑体" w:cs="黑体"/>
          <w:b w:val="0"/>
          <w:bCs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/>
          <w:szCs w:val="32"/>
          <w:highlight w:val="none"/>
        </w:rPr>
        <w:t>第</w:t>
      </w:r>
      <w:r>
        <w:rPr>
          <w:rFonts w:hint="eastAsia" w:ascii="黑体" w:hAnsi="黑体" w:eastAsia="黑体" w:cs="黑体"/>
          <w:b w:val="0"/>
          <w:bCs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 w:cs="黑体"/>
          <w:b w:val="0"/>
          <w:bCs/>
          <w:szCs w:val="32"/>
          <w:highlight w:val="none"/>
        </w:rPr>
        <w:t xml:space="preserve">条  </w:t>
      </w:r>
      <w:r>
        <w:rPr>
          <w:rFonts w:hint="eastAsia" w:ascii="黑体" w:hAnsi="黑体" w:eastAsia="黑体" w:cs="黑体"/>
          <w:b w:val="0"/>
          <w:bCs/>
          <w:szCs w:val="32"/>
          <w:highlight w:val="none"/>
          <w:lang w:val="en-US" w:eastAsia="zh-CN"/>
        </w:rPr>
        <w:t>分期商户</w:t>
      </w:r>
      <w:r>
        <w:rPr>
          <w:rFonts w:hint="eastAsia" w:ascii="黑体" w:hAnsi="黑体" w:eastAsia="黑体" w:cs="黑体"/>
          <w:b w:val="0"/>
          <w:bCs/>
          <w:szCs w:val="32"/>
          <w:highlight w:val="none"/>
        </w:rPr>
        <w:t>及</w:t>
      </w:r>
      <w:r>
        <w:rPr>
          <w:rFonts w:hint="eastAsia" w:ascii="黑体" w:hAnsi="黑体" w:eastAsia="黑体" w:cs="黑体"/>
          <w:b w:val="0"/>
          <w:bCs/>
          <w:szCs w:val="32"/>
          <w:highlight w:val="none"/>
          <w:lang w:val="en-US" w:eastAsia="zh-CN"/>
        </w:rPr>
        <w:t>交易纠纷</w:t>
      </w:r>
    </w:p>
    <w:p>
      <w:pPr>
        <w:autoSpaceDN w:val="0"/>
        <w:spacing w:line="560" w:lineRule="exact"/>
        <w:ind w:right="-123" w:rightChars="-41" w:firstLine="600"/>
        <w:rPr>
          <w:rFonts w:hint="eastAsia" w:ascii="仿宋" w:hAnsi="仿宋" w:eastAsia="仿宋"/>
          <w:szCs w:val="32"/>
          <w:highlight w:val="none"/>
        </w:rPr>
      </w:pPr>
      <w:r>
        <w:rPr>
          <w:rFonts w:hint="eastAsia" w:ascii="仿宋" w:hAnsi="仿宋" w:eastAsia="仿宋"/>
          <w:szCs w:val="32"/>
          <w:highlight w:val="none"/>
          <w:lang w:eastAsia="zh-CN"/>
        </w:rPr>
        <w:t>一、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分期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商户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是指经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官方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网站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（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www.hainanbank.com.cn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）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或其他形式公布的商品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或服务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供应者，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本行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仅提供金融服务，并非商品的销售商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，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就商品本身而言，与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商户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无代理、合作关系，亦不提供任何担保。</w:t>
      </w:r>
    </w:p>
    <w:p>
      <w:pPr>
        <w:autoSpaceDN w:val="0"/>
        <w:spacing w:line="560" w:lineRule="exact"/>
        <w:ind w:right="-123" w:rightChars="-41" w:firstLine="600"/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</w:pPr>
      <w:r>
        <w:rPr>
          <w:rFonts w:hint="eastAsia" w:ascii="仿宋" w:hAnsi="仿宋" w:eastAsia="仿宋"/>
          <w:szCs w:val="32"/>
          <w:highlight w:val="none"/>
          <w:lang w:eastAsia="zh-CN"/>
        </w:rPr>
        <w:t>二、</w:t>
      </w:r>
      <w:r>
        <w:rPr>
          <w:rFonts w:hint="eastAsia" w:ascii="仿宋" w:hAnsi="仿宋" w:eastAsia="仿宋"/>
          <w:szCs w:val="32"/>
          <w:highlight w:val="none"/>
        </w:rPr>
        <w:t>持卡人作为购买商品或服务的最终用户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Cs w:val="32"/>
          <w:highlight w:val="none"/>
        </w:rPr>
        <w:t>可通过所购商品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或服务</w:t>
      </w:r>
      <w:r>
        <w:rPr>
          <w:rFonts w:hint="eastAsia" w:ascii="仿宋" w:hAnsi="仿宋" w:eastAsia="仿宋"/>
          <w:szCs w:val="32"/>
          <w:highlight w:val="none"/>
        </w:rPr>
        <w:t>的说明书、保修卡、发票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合同协议</w:t>
      </w:r>
      <w:r>
        <w:rPr>
          <w:rFonts w:hint="eastAsia" w:ascii="仿宋" w:hAnsi="仿宋" w:eastAsia="仿宋"/>
          <w:szCs w:val="32"/>
          <w:highlight w:val="none"/>
        </w:rPr>
        <w:t>等相关资料向商户询问了解相关信息或要求商户履行相关义务</w:t>
      </w:r>
      <w:r>
        <w:rPr>
          <w:rFonts w:hint="eastAsia" w:ascii="仿宋" w:hAnsi="仿宋" w:eastAsia="仿宋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或要求相关商户</w:t>
      </w:r>
      <w:r>
        <w:rPr>
          <w:rFonts w:hint="eastAsia" w:ascii="仿宋" w:hAnsi="仿宋" w:eastAsia="仿宋"/>
          <w:szCs w:val="32"/>
          <w:highlight w:val="none"/>
        </w:rPr>
        <w:t>严格按照中国境内相关法律及消费者保护条例的规定，处理所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售</w:t>
      </w:r>
      <w:r>
        <w:rPr>
          <w:rFonts w:hint="eastAsia" w:ascii="仿宋" w:hAnsi="仿宋" w:eastAsia="仿宋"/>
          <w:szCs w:val="32"/>
          <w:highlight w:val="none"/>
        </w:rPr>
        <w:t>商品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或服务</w:t>
      </w:r>
      <w:r>
        <w:rPr>
          <w:rFonts w:hint="eastAsia" w:ascii="仿宋" w:hAnsi="仿宋" w:eastAsia="仿宋"/>
          <w:szCs w:val="32"/>
          <w:highlight w:val="none"/>
        </w:rPr>
        <w:t>的质量问题和提供商品</w:t>
      </w:r>
      <w:r>
        <w:rPr>
          <w:rFonts w:hint="eastAsia" w:ascii="仿宋" w:hAnsi="仿宋" w:eastAsia="仿宋"/>
          <w:szCs w:val="32"/>
          <w:highlight w:val="none"/>
          <w:lang w:val="en-US" w:eastAsia="zh-CN"/>
        </w:rPr>
        <w:t>或服务</w:t>
      </w:r>
      <w:r>
        <w:rPr>
          <w:rFonts w:hint="eastAsia" w:ascii="仿宋" w:hAnsi="仿宋" w:eastAsia="仿宋"/>
          <w:szCs w:val="32"/>
          <w:highlight w:val="none"/>
        </w:rPr>
        <w:t>的售后服务。</w:t>
      </w:r>
    </w:p>
    <w:p>
      <w:pPr>
        <w:autoSpaceDN w:val="0"/>
        <w:spacing w:line="560" w:lineRule="exact"/>
        <w:ind w:right="-57" w:rightChars="-19" w:firstLine="602" w:firstLineChars="200"/>
        <w:rPr>
          <w:rFonts w:hint="eastAsia" w:ascii="仿宋" w:hAnsi="仿宋" w:eastAsia="仿宋" w:cs="仿宋"/>
          <w:color w:val="000000"/>
          <w:szCs w:val="32"/>
          <w:highlight w:val="none"/>
        </w:rPr>
      </w:pP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三、持卡人与商户存在交易纠纷时须自行与商户协商解决，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已成功办理的消费分期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业务不受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eastAsia="zh-CN"/>
        </w:rPr>
        <w:t>相关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消费交易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  <w:lang w:val="en-US" w:eastAsia="zh-CN"/>
        </w:rPr>
        <w:t>纠纷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的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影响，</w:t>
      </w:r>
      <w:r>
        <w:rPr>
          <w:rFonts w:hint="eastAsia" w:ascii="仿宋" w:hAnsi="仿宋" w:eastAsia="仿宋"/>
          <w:b/>
          <w:bCs/>
          <w:i w:val="0"/>
          <w:iCs w:val="0"/>
          <w:szCs w:val="32"/>
          <w:highlight w:val="none"/>
          <w:u w:val="none"/>
        </w:rPr>
        <w:t>持卡人仍须按其已办理的分期业务支付相应分期款项</w:t>
      </w:r>
      <w:r>
        <w:rPr>
          <w:rFonts w:ascii="仿宋" w:hAnsi="仿宋" w:eastAsia="仿宋"/>
          <w:b/>
          <w:bCs/>
          <w:i w:val="0"/>
          <w:iCs w:val="0"/>
          <w:szCs w:val="32"/>
          <w:highlight w:val="none"/>
          <w:u w:val="none"/>
        </w:rPr>
        <w:t>。</w:t>
      </w:r>
    </w:p>
    <w:p>
      <w:pPr>
        <w:spacing w:line="600" w:lineRule="exact"/>
        <w:ind w:firstLine="0" w:firstLineChars="0"/>
        <w:jc w:val="center"/>
        <w:rPr>
          <w:rFonts w:hint="eastAsia" w:ascii="黑体" w:hAnsi="黑体" w:eastAsia="黑体"/>
          <w:b w:val="0"/>
          <w:bCs w:val="0"/>
          <w:i w:val="0"/>
          <w:iCs w:val="0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szCs w:val="36"/>
          <w:highlight w:val="none"/>
        </w:rPr>
        <w:t>第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Cs w:val="36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zCs w:val="36"/>
          <w:highlight w:val="none"/>
        </w:rPr>
        <w:t xml:space="preserve">条 </w:t>
      </w:r>
      <w:r>
        <w:rPr>
          <w:rFonts w:hint="eastAsia" w:ascii="黑体" w:hAnsi="黑体" w:eastAsia="黑体"/>
          <w:b w:val="0"/>
          <w:bCs w:val="0"/>
          <w:i w:val="0"/>
          <w:iCs w:val="0"/>
          <w:szCs w:val="32"/>
          <w:highlight w:val="none"/>
        </w:rPr>
        <w:t>违约责任</w:t>
      </w:r>
    </w:p>
    <w:p>
      <w:pPr>
        <w:autoSpaceDN/>
        <w:spacing w:line="600" w:lineRule="exact"/>
        <w:ind w:firstLine="602" w:firstLineChars="200"/>
        <w:jc w:val="left"/>
        <w:outlineLvl w:val="9"/>
        <w:rPr>
          <w:rFonts w:hint="eastAsia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szCs w:val="32"/>
          <w:highlight w:val="none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因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认定的正当理由（包括但不限于：持卡人有任何舞弊、欺诈或非真实交易的情形；信用卡由于被取消、管制、终止、已经过期并不被续期等原因变为不正常状态；持卡人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账户逾期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；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持卡人存在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-SA"/>
        </w:rPr>
        <w:t>洗钱或恐怖融资等行为；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持卡人已经破产或身故；持卡人违反了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信用卡领用合约、信用卡章程、本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协议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中的任何规定或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的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其他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相关规定等）确定持卡人的账户不再适合进行消费分期业务时，持卡人未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偿还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的剩余分期金额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分期利息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及其他相应费用全部视为到期，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有权要求持卡人一次性偿还剩余分期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本金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、剩余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val="en-US" w:eastAsia="zh-CN"/>
        </w:rPr>
        <w:t>分期利息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及其他相应费用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包括但不限于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eastAsia="zh-CN"/>
        </w:rPr>
        <w:t>提前还款手续费、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违约金等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，已收取的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  <w:lang w:eastAsia="zh-CN"/>
        </w:rPr>
        <w:t>分期利息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szCs w:val="32"/>
          <w:highlight w:val="none"/>
          <w:u w:val="none"/>
        </w:rPr>
        <w:t>不予退还。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b/>
          <w:bCs/>
          <w:i/>
          <w:iCs/>
          <w:color w:val="292929"/>
          <w:szCs w:val="32"/>
          <w:highlight w:val="none"/>
          <w:u w:val="single"/>
        </w:rPr>
      </w:pPr>
      <w:r>
        <w:rPr>
          <w:rFonts w:hint="eastAsia" w:ascii="仿宋" w:hAnsi="仿宋" w:eastAsia="仿宋" w:cs="仿宋"/>
          <w:color w:val="292929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  <w:t>、本协议生效后，双方应全面履行本协议约定义务，任何一方不履行或不完全履行本协议约定的义务，应承担相应的违约责任，并赔偿因此给对方造成的损失</w:t>
      </w:r>
      <w:r>
        <w:rPr>
          <w:rFonts w:hint="eastAsia" w:ascii="仿宋" w:hAnsi="仿宋" w:eastAsia="仿宋" w:cs="仿宋"/>
          <w:color w:val="292929"/>
          <w:szCs w:val="32"/>
          <w:highlight w:val="none"/>
        </w:rPr>
        <w:t>。</w:t>
      </w:r>
    </w:p>
    <w:p>
      <w:pPr>
        <w:autoSpaceDN w:val="0"/>
        <w:spacing w:line="600" w:lineRule="exact"/>
        <w:ind w:firstLine="0" w:firstLineChars="0"/>
        <w:jc w:val="center"/>
        <w:outlineLvl w:val="2"/>
        <w:rPr>
          <w:rFonts w:ascii="仿宋_GB2312" w:hAnsi="仿宋_GB2312" w:eastAsia="仿宋_GB2312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Cs w:val="36"/>
          <w:highlight w:val="none"/>
        </w:rPr>
        <w:t>第</w:t>
      </w:r>
      <w:r>
        <w:rPr>
          <w:rFonts w:hint="eastAsia" w:ascii="黑体" w:hAnsi="黑体" w:eastAsia="黑体" w:cs="黑体"/>
          <w:b w:val="0"/>
          <w:bCs w:val="0"/>
          <w:szCs w:val="36"/>
          <w:highlight w:val="none"/>
          <w:lang w:val="en-US"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Cs w:val="36"/>
          <w:highlight w:val="none"/>
        </w:rPr>
        <w:t>条 其他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</w:pPr>
      <w:r>
        <w:rPr>
          <w:rFonts w:hint="eastAsia" w:ascii="仿宋" w:hAnsi="仿宋" w:eastAsia="仿宋" w:cs="仿宋"/>
          <w:color w:val="292929"/>
          <w:szCs w:val="32"/>
          <w:highlight w:val="none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</w:rPr>
        <w:t>持卡人声明已详尽阅读并完全知晓和承诺遵守本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  <w:lang w:eastAsia="zh-CN"/>
        </w:rPr>
        <w:t>协议，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未尽事项依据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  <w:lang w:val="en-US" w:eastAsia="zh-CN"/>
        </w:rPr>
        <w:t>相关法律法规、监管政策以及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《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海南农村商业银行股份有限公司信用卡章程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》《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海南农村商业银行股份有限公司信用卡领用合约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》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《海南农村商业银行股份有限公司美团联名信用卡领用合约》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val="en-US" w:eastAsia="zh-CN"/>
        </w:rPr>
        <w:t>等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Cs w:val="32"/>
          <w:highlight w:val="none"/>
          <w:u w:val="none"/>
        </w:rPr>
        <w:t>有关规定处理。</w:t>
      </w:r>
    </w:p>
    <w:p>
      <w:pPr>
        <w:autoSpaceDN w:val="0"/>
        <w:spacing w:line="600" w:lineRule="exact"/>
        <w:ind w:firstLine="602" w:firstLineChars="200"/>
        <w:jc w:val="left"/>
        <w:outlineLvl w:val="2"/>
        <w:rPr>
          <w:rFonts w:hint="eastAsia" w:ascii="仿宋" w:hAnsi="仿宋" w:eastAsia="仿宋" w:cs="仿宋"/>
          <w:szCs w:val="32"/>
          <w:highlight w:val="none"/>
          <w:shd w:val="clear" w:color="auto" w:fill="FFFFFF"/>
        </w:rPr>
      </w:pPr>
      <w:r>
        <w:rPr>
          <w:rFonts w:hint="eastAsia" w:ascii="仿宋" w:hAnsi="仿宋" w:eastAsia="仿宋" w:cs="仿宋"/>
          <w:color w:val="292929"/>
          <w:szCs w:val="32"/>
          <w:highlight w:val="none"/>
          <w:u w:val="none"/>
          <w:lang w:val="en-US" w:eastAsia="zh-CN"/>
        </w:rPr>
        <w:t>二</w:t>
      </w:r>
      <w:r>
        <w:rPr>
          <w:rFonts w:hint="eastAsia" w:ascii="仿宋" w:hAnsi="仿宋" w:eastAsia="仿宋" w:cs="仿宋"/>
          <w:color w:val="292929"/>
          <w:szCs w:val="32"/>
          <w:highlight w:val="none"/>
          <w:u w:val="none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  <w:lang w:val="en-US" w:eastAsia="zh-CN"/>
        </w:rPr>
        <w:t>本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  <w:lang w:eastAsia="zh-CN"/>
        </w:rPr>
        <w:t>协议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</w:rPr>
        <w:t>自发布之日起生效。后续如有调整，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  <w:lang w:eastAsia="zh-CN"/>
        </w:rPr>
        <w:t>将至少提前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  <w:lang w:val="en-US" w:eastAsia="zh-CN"/>
        </w:rPr>
        <w:t>45个自然日通过官网发布公告，如您不接受本行调整内容条款，则有权提出终止服务，最新政策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</w:rPr>
        <w:t>以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  <w:lang w:eastAsia="zh-CN"/>
        </w:rPr>
        <w:t>本行</w:t>
      </w:r>
      <w:r>
        <w:rPr>
          <w:rFonts w:hint="eastAsia" w:ascii="仿宋" w:hAnsi="仿宋" w:eastAsia="仿宋" w:cs="仿宋"/>
          <w:b/>
          <w:bCs/>
          <w:i w:val="0"/>
          <w:iCs w:val="0"/>
          <w:color w:val="292929"/>
          <w:sz w:val="32"/>
          <w:szCs w:val="32"/>
          <w:highlight w:val="none"/>
          <w:u w:val="none"/>
        </w:rPr>
        <w:t>最新公告为准</w:t>
      </w:r>
      <w:r>
        <w:rPr>
          <w:rFonts w:hint="eastAsia" w:ascii="仿宋" w:hAnsi="仿宋" w:eastAsia="仿宋" w:cs="仿宋"/>
          <w:b/>
          <w:bCs/>
          <w:i w:val="0"/>
          <w:iCs w:val="0"/>
          <w:sz w:val="32"/>
          <w:szCs w:val="32"/>
          <w:highlight w:val="none"/>
          <w:u w:val="none"/>
        </w:rPr>
        <w:t>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701" w:right="1588" w:bottom="1644" w:left="1588" w:header="851" w:footer="1287" w:gutter="0"/>
      <w:cols w:space="720" w:num="1"/>
      <w:docGrid w:type="linesAndChars" w:linePitch="600" w:charSpace="-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tabs>
        <w:tab w:val="left" w:pos="8955"/>
      </w:tabs>
      <w:ind w:right="360" w:firstLine="7800" w:firstLineChars="3250"/>
      <w:rPr>
        <w:rFonts w:hint="eastAsia"/>
        <w:sz w:val="24"/>
      </w:rPr>
    </w:pPr>
    <w:r>
      <w:rPr>
        <w:kern w:val="0"/>
        <w:sz w:val="24"/>
        <w:szCs w:val="21"/>
      </w:rPr>
      <w:t xml:space="preserve">- </w:t>
    </w:r>
    <w:r>
      <w:rPr>
        <w:kern w:val="0"/>
        <w:sz w:val="24"/>
        <w:szCs w:val="21"/>
      </w:rPr>
      <w:fldChar w:fldCharType="begin"/>
    </w:r>
    <w:r>
      <w:rPr>
        <w:kern w:val="0"/>
        <w:sz w:val="24"/>
        <w:szCs w:val="21"/>
      </w:rPr>
      <w:instrText xml:space="preserve"> PAGE </w:instrText>
    </w:r>
    <w:r>
      <w:rPr>
        <w:kern w:val="0"/>
        <w:sz w:val="24"/>
        <w:szCs w:val="21"/>
      </w:rPr>
      <w:fldChar w:fldCharType="separate"/>
    </w:r>
    <w:r>
      <w:rPr>
        <w:kern w:val="0"/>
        <w:sz w:val="24"/>
        <w:szCs w:val="21"/>
      </w:rPr>
      <w:t>5</w:t>
    </w:r>
    <w:r>
      <w:rPr>
        <w:kern w:val="0"/>
        <w:sz w:val="24"/>
        <w:szCs w:val="21"/>
      </w:rPr>
      <w:fldChar w:fldCharType="end"/>
    </w:r>
    <w:r>
      <w:rPr>
        <w:kern w:val="0"/>
        <w:sz w:val="24"/>
        <w:szCs w:val="21"/>
      </w:rPr>
      <w:t xml:space="preserve"> -</w:t>
    </w:r>
    <w:r>
      <w:rPr>
        <w:kern w:val="0"/>
        <w:sz w:val="24"/>
        <w:szCs w:val="21"/>
      </w:rPr>
      <w:tab/>
    </w:r>
    <w:r>
      <w:rPr>
        <w:kern w:val="0"/>
        <w:sz w:val="24"/>
        <w:szCs w:val="21"/>
      </w:rPr>
      <w:t xml:space="preserve">                    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right" w:y="1"/>
      <w:rPr>
        <w:rStyle w:val="25"/>
        <w:rFonts w:hint="eastAsia"/>
      </w:rPr>
    </w:pPr>
  </w:p>
  <w:p>
    <w:pPr>
      <w:pStyle w:val="15"/>
      <w:ind w:right="360"/>
      <w:rPr>
        <w:rFonts w:hint="eastAsia"/>
        <w:sz w:val="24"/>
      </w:rPr>
    </w:pPr>
    <w:r>
      <w:rPr>
        <w:sz w:val="24"/>
      </w:rPr>
      <w:t xml:space="preserve">- </w:t>
    </w:r>
    <w:r>
      <w:rPr>
        <w:sz w:val="24"/>
      </w:rPr>
      <w:fldChar w:fldCharType="begin"/>
    </w:r>
    <w:r>
      <w:rPr>
        <w:sz w:val="24"/>
      </w:rPr>
      <w:instrText xml:space="preserve"> PAGE </w:instrText>
    </w:r>
    <w:r>
      <w:rPr>
        <w:sz w:val="24"/>
      </w:rPr>
      <w:fldChar w:fldCharType="separate"/>
    </w:r>
    <w:r>
      <w:rPr>
        <w:sz w:val="24"/>
      </w:rPr>
      <w:t>4</w:t>
    </w:r>
    <w:r>
      <w:rPr>
        <w:sz w:val="24"/>
      </w:rPr>
      <w:fldChar w:fldCharType="end"/>
    </w:r>
    <w:r>
      <w:rPr>
        <w:sz w:val="24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dit="forms" w:enforcement="0"/>
  <w:defaultTabStop w:val="425"/>
  <w:hyphenationZone w:val="360"/>
  <w:evenAndOddHeaders w:val="1"/>
  <w:drawingGridHorizontalSpacing w:val="150"/>
  <w:drawingGridVerticalSpacing w:val="300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OWI4N2MxODkxMjk2MDZhMmNlYmIxZDhkNDkxNmEifQ=="/>
    <w:docVar w:name="KGWebUrl" w:val="http://18.1.90.119:8080/seeyon/officeservlet"/>
    <w:docVar w:name="KSO_WPS_MARK_KEY" w:val="13537c15-125b-4700-b450-bd5e14bfda1a"/>
  </w:docVars>
  <w:rsids>
    <w:rsidRoot w:val="00172A27"/>
    <w:rsid w:val="01080C44"/>
    <w:rsid w:val="017951DE"/>
    <w:rsid w:val="024F01A5"/>
    <w:rsid w:val="02F42597"/>
    <w:rsid w:val="03D85105"/>
    <w:rsid w:val="056F680B"/>
    <w:rsid w:val="05784379"/>
    <w:rsid w:val="080873FF"/>
    <w:rsid w:val="082C47F5"/>
    <w:rsid w:val="0A7B22CC"/>
    <w:rsid w:val="0C47554F"/>
    <w:rsid w:val="0CB7312B"/>
    <w:rsid w:val="0EA87FD7"/>
    <w:rsid w:val="12294488"/>
    <w:rsid w:val="13B1585F"/>
    <w:rsid w:val="14B81007"/>
    <w:rsid w:val="15C16DB8"/>
    <w:rsid w:val="169F2398"/>
    <w:rsid w:val="18DF416F"/>
    <w:rsid w:val="19493DB7"/>
    <w:rsid w:val="1A302C8F"/>
    <w:rsid w:val="1A64625E"/>
    <w:rsid w:val="1BBF5311"/>
    <w:rsid w:val="1CD26B33"/>
    <w:rsid w:val="1D281D31"/>
    <w:rsid w:val="1E873368"/>
    <w:rsid w:val="1FA76D1A"/>
    <w:rsid w:val="20385634"/>
    <w:rsid w:val="20F16599"/>
    <w:rsid w:val="21596BAE"/>
    <w:rsid w:val="21E809F0"/>
    <w:rsid w:val="22001439"/>
    <w:rsid w:val="24ED01E8"/>
    <w:rsid w:val="263C341F"/>
    <w:rsid w:val="270C31A4"/>
    <w:rsid w:val="289744EC"/>
    <w:rsid w:val="28EC0C20"/>
    <w:rsid w:val="29155319"/>
    <w:rsid w:val="2A450181"/>
    <w:rsid w:val="2BD05066"/>
    <w:rsid w:val="2C866299"/>
    <w:rsid w:val="2D0E052A"/>
    <w:rsid w:val="2D7C14CE"/>
    <w:rsid w:val="2F7C113E"/>
    <w:rsid w:val="30162D63"/>
    <w:rsid w:val="3214654D"/>
    <w:rsid w:val="34F66A45"/>
    <w:rsid w:val="36445ED0"/>
    <w:rsid w:val="366A02B4"/>
    <w:rsid w:val="36EA072E"/>
    <w:rsid w:val="371F3DC7"/>
    <w:rsid w:val="37E05566"/>
    <w:rsid w:val="38FE38BF"/>
    <w:rsid w:val="39A275DF"/>
    <w:rsid w:val="39A3521F"/>
    <w:rsid w:val="3A3C1034"/>
    <w:rsid w:val="3B5A779E"/>
    <w:rsid w:val="3B6001A8"/>
    <w:rsid w:val="3BBE68D6"/>
    <w:rsid w:val="3C4B1FEF"/>
    <w:rsid w:val="3CF871C4"/>
    <w:rsid w:val="3DA66CB2"/>
    <w:rsid w:val="3E416487"/>
    <w:rsid w:val="40BD6B76"/>
    <w:rsid w:val="437C5A76"/>
    <w:rsid w:val="44F265FC"/>
    <w:rsid w:val="46640F64"/>
    <w:rsid w:val="476E15EF"/>
    <w:rsid w:val="47CF409A"/>
    <w:rsid w:val="4B1D5417"/>
    <w:rsid w:val="4D752DF1"/>
    <w:rsid w:val="4E5E5690"/>
    <w:rsid w:val="4F9E76B4"/>
    <w:rsid w:val="4FB81449"/>
    <w:rsid w:val="4FFE2FE2"/>
    <w:rsid w:val="513769A0"/>
    <w:rsid w:val="52C13297"/>
    <w:rsid w:val="53485030"/>
    <w:rsid w:val="53E80FCD"/>
    <w:rsid w:val="552B2F17"/>
    <w:rsid w:val="553E4528"/>
    <w:rsid w:val="561B2AE3"/>
    <w:rsid w:val="56BE4B85"/>
    <w:rsid w:val="57A00915"/>
    <w:rsid w:val="582E3051"/>
    <w:rsid w:val="58986DCE"/>
    <w:rsid w:val="597028D2"/>
    <w:rsid w:val="5A581100"/>
    <w:rsid w:val="5CCF2D72"/>
    <w:rsid w:val="5D8C23F9"/>
    <w:rsid w:val="5EDD1FB2"/>
    <w:rsid w:val="60AE3CB9"/>
    <w:rsid w:val="61DE2E25"/>
    <w:rsid w:val="62115DD5"/>
    <w:rsid w:val="62327B8A"/>
    <w:rsid w:val="639F4231"/>
    <w:rsid w:val="640D3702"/>
    <w:rsid w:val="648D3C31"/>
    <w:rsid w:val="65904528"/>
    <w:rsid w:val="67E679FC"/>
    <w:rsid w:val="68CB2861"/>
    <w:rsid w:val="695721E9"/>
    <w:rsid w:val="69C95CBC"/>
    <w:rsid w:val="69D43F2F"/>
    <w:rsid w:val="6A7078B3"/>
    <w:rsid w:val="6A934779"/>
    <w:rsid w:val="6B916D0C"/>
    <w:rsid w:val="6BA276CB"/>
    <w:rsid w:val="6CF85814"/>
    <w:rsid w:val="6D2235C4"/>
    <w:rsid w:val="6E6D05E7"/>
    <w:rsid w:val="6E7321F7"/>
    <w:rsid w:val="6E984209"/>
    <w:rsid w:val="6EFB4D97"/>
    <w:rsid w:val="6F7A4AFB"/>
    <w:rsid w:val="749700B6"/>
    <w:rsid w:val="758D4CA4"/>
    <w:rsid w:val="771A0E00"/>
    <w:rsid w:val="7792387D"/>
    <w:rsid w:val="779A26C2"/>
    <w:rsid w:val="780F6C7F"/>
    <w:rsid w:val="78814386"/>
    <w:rsid w:val="78C87070"/>
    <w:rsid w:val="78D50874"/>
    <w:rsid w:val="7A73158B"/>
    <w:rsid w:val="7AA8679B"/>
    <w:rsid w:val="7B3914AD"/>
    <w:rsid w:val="7B516F20"/>
    <w:rsid w:val="7B945E2B"/>
    <w:rsid w:val="7D3E5C7B"/>
    <w:rsid w:val="7D420DED"/>
    <w:rsid w:val="7DBE24D2"/>
    <w:rsid w:val="7E673155"/>
    <w:rsid w:val="7EAF5929"/>
    <w:rsid w:val="7F4C47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outlineLvl w:val="0"/>
    </w:pPr>
    <w:rPr>
      <w:rFonts w:ascii="Times New Roman" w:hAnsi="Times New Roman" w:eastAsia="宋体" w:cs="Times New Roman"/>
      <w:b/>
      <w:kern w:val="0"/>
      <w:sz w:val="26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500" w:lineRule="exact"/>
      <w:ind w:left="0" w:leftChars="200"/>
      <w:outlineLvl w:val="1"/>
    </w:pPr>
    <w:rPr>
      <w:rFonts w:ascii="微软雅黑" w:hAnsi="微软雅黑" w:eastAsia="黑体" w:cs="Times New Roman"/>
      <w:bCs/>
      <w:sz w:val="28"/>
      <w:szCs w:val="24"/>
    </w:rPr>
  </w:style>
  <w:style w:type="character" w:default="1" w:styleId="23">
    <w:name w:val="Default Paragraph Font"/>
    <w:uiPriority w:val="0"/>
    <w:rPr>
      <w:rFonts w:ascii="Times New Roman" w:hAnsi="Times New Roman" w:eastAsia="宋体" w:cs="Times New Roman"/>
      <w:sz w:val="21"/>
      <w:szCs w:val="21"/>
    </w:rPr>
  </w:style>
  <w:style w:type="table" w:default="1" w:styleId="2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/>
    </w:pPr>
    <w:rPr>
      <w:rFonts w:ascii="Times New Roman" w:hAnsi="Times New Roman" w:eastAsia="宋体" w:cs="Times New Roman"/>
      <w:sz w:val="21"/>
    </w:rPr>
  </w:style>
  <w:style w:type="paragraph" w:styleId="5">
    <w:name w:val="Document Map"/>
    <w:basedOn w:val="1"/>
    <w:uiPriority w:val="0"/>
    <w:pPr>
      <w:shd w:val="clear" w:color="auto" w:fill="000080"/>
    </w:pPr>
    <w:rPr>
      <w:rFonts w:ascii="Times New Roman" w:hAnsi="Times New Roman" w:eastAsia="宋体" w:cs="Times New Roman"/>
    </w:rPr>
  </w:style>
  <w:style w:type="paragraph" w:styleId="6">
    <w:name w:val="annotation text"/>
    <w:basedOn w:val="1"/>
    <w:link w:val="29"/>
    <w:uiPriority w:val="0"/>
    <w:pPr>
      <w:jc w:val="left"/>
    </w:pPr>
    <w:rPr>
      <w:rFonts w:ascii="Times New Roman" w:hAnsi="Times New Roman" w:eastAsia="宋体" w:cs="Times New Roman"/>
      <w:kern w:val="2"/>
      <w:sz w:val="32"/>
    </w:rPr>
  </w:style>
  <w:style w:type="paragraph" w:styleId="7">
    <w:name w:val="Salutation"/>
    <w:basedOn w:val="1"/>
    <w:next w:val="1"/>
    <w:uiPriority w:val="0"/>
    <w:rPr>
      <w:rFonts w:ascii="Times New Roman" w:hAnsi="Times New Roman" w:eastAsia="仿宋_GB2312" w:cs="Times New Roman"/>
      <w:sz w:val="30"/>
      <w:szCs w:val="24"/>
    </w:rPr>
  </w:style>
  <w:style w:type="paragraph" w:styleId="8">
    <w:name w:val="Body Text 3"/>
    <w:basedOn w:val="1"/>
    <w:uiPriority w:val="0"/>
    <w:pPr>
      <w:jc w:val="center"/>
    </w:pPr>
    <w:rPr>
      <w:rFonts w:ascii="Times New Roman" w:hAnsi="Times New Roman" w:eastAsia="宋体" w:cs="Times New Roman"/>
      <w:b/>
      <w:sz w:val="44"/>
    </w:rPr>
  </w:style>
  <w:style w:type="paragraph" w:styleId="9">
    <w:name w:val="Body Text"/>
    <w:basedOn w:val="1"/>
    <w:uiPriority w:val="0"/>
    <w:rPr>
      <w:rFonts w:ascii="Times New Roman" w:hAnsi="Times New Roman" w:eastAsia="宋体" w:cs="Times New Roman"/>
      <w:b/>
      <w:sz w:val="36"/>
    </w:rPr>
  </w:style>
  <w:style w:type="paragraph" w:styleId="10">
    <w:name w:val="Body Text Indent"/>
    <w:basedOn w:val="1"/>
    <w:uiPriority w:val="0"/>
    <w:pPr>
      <w:spacing w:line="440" w:lineRule="exact"/>
      <w:ind w:firstLine="540"/>
    </w:pPr>
    <w:rPr>
      <w:rFonts w:ascii="Times New Roman" w:hAnsi="Times New Roman" w:eastAsia="宋体" w:cs="Times New Roman"/>
      <w:sz w:val="28"/>
    </w:rPr>
  </w:style>
  <w:style w:type="paragraph" w:styleId="11">
    <w:name w:val="Plain Text"/>
    <w:basedOn w:val="1"/>
    <w:qFormat/>
    <w:uiPriority w:val="0"/>
    <w:rPr>
      <w:rFonts w:ascii="宋体" w:hAnsi="Courier New" w:eastAsia="宋体" w:cs="Times New Roman"/>
      <w:sz w:val="21"/>
    </w:rPr>
  </w:style>
  <w:style w:type="paragraph" w:styleId="12">
    <w:name w:val="Date"/>
    <w:basedOn w:val="1"/>
    <w:next w:val="1"/>
    <w:uiPriority w:val="0"/>
    <w:rPr>
      <w:rFonts w:ascii="仿宋_GB2312" w:hAnsi="Times New Roman" w:eastAsia="仿宋_GB2312" w:cs="Times New Roman"/>
    </w:rPr>
  </w:style>
  <w:style w:type="paragraph" w:styleId="13">
    <w:name w:val="Body Text Indent 2"/>
    <w:basedOn w:val="1"/>
    <w:qFormat/>
    <w:uiPriority w:val="0"/>
    <w:pPr>
      <w:ind w:firstLine="450" w:firstLineChars="150"/>
    </w:pPr>
    <w:rPr>
      <w:rFonts w:ascii="仿宋_GB2312" w:hAnsi="Times New Roman" w:eastAsia="仿宋_GB2312" w:cs="Times New Roman"/>
    </w:rPr>
  </w:style>
  <w:style w:type="paragraph" w:styleId="14">
    <w:name w:val="Balloon Text"/>
    <w:basedOn w:val="1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1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7">
    <w:name w:val="Body Text Indent 3"/>
    <w:basedOn w:val="1"/>
    <w:qFormat/>
    <w:uiPriority w:val="0"/>
    <w:pPr>
      <w:ind w:firstLine="600" w:firstLineChars="200"/>
    </w:pPr>
    <w:rPr>
      <w:rFonts w:ascii="仿宋_GB2312" w:hAnsi="Times New Roman" w:eastAsia="仿宋_GB2312" w:cs="Times New Roman"/>
    </w:rPr>
  </w:style>
  <w:style w:type="paragraph" w:styleId="18">
    <w:name w:val="Body Text 2"/>
    <w:basedOn w:val="1"/>
    <w:uiPriority w:val="0"/>
    <w:pPr>
      <w:spacing w:line="0" w:lineRule="atLeast"/>
      <w:ind w:right="-49"/>
    </w:pPr>
    <w:rPr>
      <w:rFonts w:ascii="Times New Roman" w:hAnsi="Times New Roman" w:eastAsia="宋体" w:cs="Times New Roman"/>
      <w:sz w:val="24"/>
    </w:rPr>
  </w:style>
  <w:style w:type="paragraph" w:styleId="1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styleId="20">
    <w:name w:val="annotation subject"/>
    <w:basedOn w:val="6"/>
    <w:next w:val="6"/>
    <w:link w:val="30"/>
    <w:qFormat/>
    <w:uiPriority w:val="0"/>
    <w:rPr>
      <w:rFonts w:ascii="Times New Roman" w:hAnsi="Times New Roman" w:eastAsia="宋体" w:cs="Times New Roman"/>
      <w:b/>
      <w:bCs/>
    </w:rPr>
  </w:style>
  <w:style w:type="paragraph" w:styleId="21">
    <w:name w:val="Body Text First Indent"/>
    <w:basedOn w:val="9"/>
    <w:qFormat/>
    <w:uiPriority w:val="0"/>
    <w:pPr>
      <w:spacing w:after="120" w:afterLines="0"/>
      <w:ind w:firstLine="420" w:firstLineChars="100"/>
    </w:pPr>
    <w:rPr>
      <w:rFonts w:ascii="Times New Roman" w:hAnsi="Times New Roman" w:eastAsia="宋体" w:cs="Times New Roman"/>
      <w:b w:val="0"/>
      <w:sz w:val="32"/>
    </w:rPr>
  </w:style>
  <w:style w:type="character" w:styleId="24">
    <w:name w:val="Strong"/>
    <w:basedOn w:val="23"/>
    <w:qFormat/>
    <w:uiPriority w:val="0"/>
    <w:rPr>
      <w:rFonts w:ascii="Times New Roman" w:hAnsi="Times New Roman" w:eastAsia="宋体" w:cs="Times New Roman"/>
      <w:b/>
      <w:bCs/>
    </w:rPr>
  </w:style>
  <w:style w:type="character" w:styleId="25">
    <w:name w:val="page number"/>
    <w:basedOn w:val="23"/>
    <w:qFormat/>
    <w:uiPriority w:val="0"/>
    <w:rPr>
      <w:rFonts w:ascii="Times New Roman" w:hAnsi="Times New Roman" w:eastAsia="宋体" w:cs="Times New Roman"/>
    </w:rPr>
  </w:style>
  <w:style w:type="character" w:styleId="26">
    <w:name w:val="FollowedHyperlink"/>
    <w:basedOn w:val="23"/>
    <w:qFormat/>
    <w:uiPriority w:val="0"/>
    <w:rPr>
      <w:rFonts w:ascii="Times New Roman" w:hAnsi="Times New Roman" w:eastAsia="宋体" w:cs="Times New Roman"/>
      <w:color w:val="0000FF"/>
      <w:u w:val="none"/>
    </w:rPr>
  </w:style>
  <w:style w:type="character" w:styleId="27">
    <w:name w:val="Hyperlink"/>
    <w:basedOn w:val="23"/>
    <w:qFormat/>
    <w:uiPriority w:val="0"/>
    <w:rPr>
      <w:rFonts w:ascii="Times New Roman" w:hAnsi="Times New Roman" w:eastAsia="宋体" w:cs="Times New Roman"/>
      <w:color w:val="0000FF"/>
      <w:u w:val="none"/>
    </w:rPr>
  </w:style>
  <w:style w:type="character" w:styleId="28">
    <w:name w:val="annotation reference"/>
    <w:basedOn w:val="23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29">
    <w:name w:val="批注文字 Char Char"/>
    <w:basedOn w:val="23"/>
    <w:link w:val="6"/>
    <w:qFormat/>
    <w:uiPriority w:val="0"/>
    <w:rPr>
      <w:rFonts w:ascii="Times New Roman" w:hAnsi="Times New Roman" w:eastAsia="宋体" w:cs="Times New Roman"/>
      <w:kern w:val="2"/>
      <w:sz w:val="32"/>
    </w:rPr>
  </w:style>
  <w:style w:type="character" w:customStyle="1" w:styleId="30">
    <w:name w:val="批注主题 Char Char"/>
    <w:basedOn w:val="29"/>
    <w:link w:val="20"/>
    <w:qFormat/>
    <w:uiPriority w:val="0"/>
    <w:rPr>
      <w:rFonts w:ascii="Times New Roman" w:hAnsi="Times New Roman" w:eastAsia="宋体" w:cs="Times New Roman"/>
      <w:b/>
      <w:bCs/>
    </w:rPr>
  </w:style>
  <w:style w:type="paragraph" w:customStyle="1" w:styleId="31">
    <w:name w:val="List 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32">
    <w:name w:val="p0"/>
    <w:basedOn w:val="1"/>
    <w:qFormat/>
    <w:uiPriority w:val="0"/>
    <w:pPr>
      <w:widowControl/>
      <w:jc w:val="left"/>
    </w:pPr>
    <w:rPr>
      <w:rFonts w:ascii="Times New Roman" w:hAnsi="Times New Roman" w:eastAsia="宋体" w:cs="Times New Roman"/>
      <w:kern w:val="0"/>
      <w:sz w:val="30"/>
      <w:szCs w:val="30"/>
    </w:rPr>
  </w:style>
  <w:style w:type="paragraph" w:customStyle="1" w:styleId="3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</w:rPr>
  </w:style>
  <w:style w:type="paragraph" w:customStyle="1" w:styleId="34">
    <w:name w:val=" Char Char1 Char"/>
    <w:basedOn w:val="1"/>
    <w:qFormat/>
    <w:uiPriority w:val="0"/>
    <w:rPr>
      <w:rFonts w:ascii="Times New Roman" w:hAnsi="Times New Roman" w:eastAsia="宋体" w:cs="Times New Roman"/>
      <w:sz w:val="21"/>
      <w:szCs w:val="21"/>
    </w:rPr>
  </w:style>
  <w:style w:type="paragraph" w:customStyle="1" w:styleId="35">
    <w:name w:val="xl44"/>
    <w:basedOn w:val="1"/>
    <w:qFormat/>
    <w:uiPriority w:val="0"/>
    <w:pPr>
      <w:widowControl/>
      <w:spacing w:before="100" w:beforeLines="0" w:beforeAutospacing="1" w:after="100" w:afterLines="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24"/>
      <w:szCs w:val="24"/>
    </w:rPr>
  </w:style>
  <w:style w:type="paragraph" w:customStyle="1" w:styleId="36">
    <w:name w:val="打印专用"/>
    <w:basedOn w:val="1"/>
    <w:qFormat/>
    <w:uiPriority w:val="0"/>
    <w:pPr>
      <w:spacing w:line="360" w:lineRule="auto"/>
      <w:jc w:val="center"/>
    </w:pPr>
    <w:rPr>
      <w:rFonts w:ascii="仿宋_GB2312" w:hAnsi="Times New Roman" w:eastAsia="仿宋_GB2312" w:cs="Times New Roman"/>
      <w:sz w:val="28"/>
    </w:rPr>
  </w:style>
  <w:style w:type="paragraph" w:customStyle="1" w:styleId="37">
    <w:name w:val=" Char"/>
    <w:basedOn w:val="1"/>
    <w:qFormat/>
    <w:uiPriority w:val="0"/>
    <w:rPr>
      <w:rFonts w:ascii="Times New Roman" w:hAnsi="Times New Roman" w:eastAsia="宋体" w:cs="Times New Roman"/>
      <w:sz w:val="21"/>
      <w:szCs w:val="21"/>
    </w:rPr>
  </w:style>
  <w:style w:type="paragraph" w:customStyle="1" w:styleId="38">
    <w:name w:val="发文正文"/>
    <w:basedOn w:val="1"/>
    <w:qFormat/>
    <w:uiPriority w:val="0"/>
    <w:rPr>
      <w:rFonts w:ascii="Times New Roman" w:hAnsi="Times New Roman" w:eastAsia="楷体_GB2312" w:cs="Times New Roman"/>
    </w:rPr>
  </w:style>
  <w:style w:type="paragraph" w:customStyle="1" w:styleId="39">
    <w:name w:val="xl25"/>
    <w:basedOn w:val="1"/>
    <w:qFormat/>
    <w:uiPriority w:val="0"/>
    <w:pPr>
      <w:widowControl/>
      <w:spacing w:before="100" w:beforeLines="0" w:beforeAutospacing="1" w:after="100" w:afterLines="0" w:afterAutospacing="1"/>
      <w:jc w:val="center"/>
      <w:textAlignment w:val="center"/>
    </w:pPr>
    <w:rPr>
      <w:rFonts w:ascii="宋体" w:hAnsi="宋体" w:eastAsia="宋体" w:cs="Times New Roman"/>
      <w:kern w:val="0"/>
      <w:sz w:val="21"/>
      <w:szCs w:val="21"/>
    </w:rPr>
  </w:style>
  <w:style w:type="paragraph" w:customStyle="1" w:styleId="40">
    <w:name w:val=" Char Char Char"/>
    <w:basedOn w:val="1"/>
    <w:qFormat/>
    <w:uiPriority w:val="0"/>
    <w:rPr>
      <w:rFonts w:ascii="Times New Roman" w:hAnsi="Times New Roman" w:eastAsia="宋体" w:cs="Times New Roman"/>
      <w:sz w:val="21"/>
      <w:szCs w:val="21"/>
    </w:rPr>
  </w:style>
  <w:style w:type="paragraph" w:customStyle="1" w:styleId="41">
    <w:name w:val="c"/>
    <w:qFormat/>
    <w:uiPriority w:val="0"/>
    <w:pPr>
      <w:widowControl w:val="0"/>
      <w:autoSpaceDE w:val="0"/>
      <w:autoSpaceDN w:val="0"/>
      <w:adjustRightInd w:val="0"/>
      <w:jc w:val="both"/>
    </w:pPr>
    <w:rPr>
      <w:rFonts w:ascii="五" w:hAnsi="Times New Roman" w:eastAsia="五" w:cs="Times New Roman"/>
      <w:szCs w:val="24"/>
      <w:lang w:val="en-US" w:eastAsia="zh-CN" w:bidi="ar-SA"/>
    </w:rPr>
  </w:style>
  <w:style w:type="paragraph" w:customStyle="1" w:styleId="42">
    <w:name w:val="Char"/>
    <w:basedOn w:val="1"/>
    <w:qFormat/>
    <w:uiPriority w:val="0"/>
    <w:rPr>
      <w:rFonts w:ascii="Times New Roman" w:hAnsi="Times New Roman" w:eastAsia="宋体" w:cs="Times New Roman"/>
      <w:sz w:val="21"/>
      <w:szCs w:val="21"/>
    </w:rPr>
  </w:style>
  <w:style w:type="paragraph" w:customStyle="1" w:styleId="43">
    <w:name w:val="列出段落1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8</Pages>
  <Words>3955</Words>
  <Characters>4045</Characters>
  <Lines>18</Lines>
  <Paragraphs>5</Paragraphs>
  <TotalTime>12</TotalTime>
  <ScaleCrop>false</ScaleCrop>
  <LinksUpToDate>false</LinksUpToDate>
  <CharactersWithSpaces>4058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2009-02-10T09:03:00Z</dcterms:created>
  <dc:creator>默认</dc:creator>
  <cp:lastModifiedBy>陈雪琴</cp:lastModifiedBy>
  <cp:lastPrinted>2020-03-13T08:11:00Z</cp:lastPrinted>
  <dcterms:modified xsi:type="dcterms:W3CDTF">2024-06-27T00:59:31Z</dcterms:modified>
  <dc:title>                                           合作处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B48B71754AEF457A911FA4774D6934BA</vt:lpwstr>
  </property>
</Properties>
</file>